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pPr>
              <w:pStyle w:val="8"/>
              <w:spacing w:line="360" w:lineRule="auto"/>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top"/>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2021年度</w:t>
              <w:br w:type="textWrapping"/>
              <w:t/>
            </w:r>
            <w:r>
              <w:rPr>
                <w:rFonts w:ascii="宋体" w:hAnsi="宋体" w:cs="宋体" w:eastAsia="宋体"/>
                <w:b w:val="true"/>
                <w:sz w:val="52"/>
              </w:rPr>
              <w:t>南京市雨花台区铁心桥街道办事处</w:t>
            </w:r>
            <w:r>
              <w:rPr>
                <w:rFonts w:ascii="宋体" w:hAnsi="宋体" w:cs="宋体" w:eastAsia="宋体"/>
                <w:b w:val="true"/>
                <w:sz w:val="52"/>
              </w:rPr>
              <w:t xml:space="preserve"></w:t>
              <w:br w:type="textWrapping"/>
              <w:t>部门决算公开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tabs>
          <w:tab w:val="left" w:pos="880"/>
        </w:tabs>
        <w:spacing w:line="718" w:lineRule="exact"/>
        <w:ind w:right="313" w:firstLine="0"/>
        <w:outlineLvl w:val="0"/>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spacing w:before="7" w:after="0"/>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outlineLvl w:val="0"/>
        <w:rPr>
          <w:rFonts w:hint="eastAsia" w:ascii="黑体" w:hAnsi="黑体" w:eastAsia="黑体" w:cs="黑体"/>
          <w:b w:val="0"/>
          <w:bCs w:val="0"/>
        </w:rPr>
      </w:pPr>
      <w:r>
        <w:rPr>
          <w:rFonts w:hint="eastAsia" w:ascii="黑体" w:hAnsi="黑体" w:eastAsia="黑体" w:cs="黑体"/>
          <w:b w:val="0"/>
          <w:bCs w:val="0"/>
        </w:rPr>
        <w:t xml:space="preserve">第一部分 </w:t>
      </w:r>
      <w:r>
        <w:rPr>
          <w:rFonts w:hint="eastAsia" w:ascii="黑体" w:hAnsi="黑体" w:eastAsia="黑体" w:cs="黑体"/>
          <w:b w:val="0"/>
          <w:bCs w:val="0"/>
          <w:lang w:val="en-US" w:eastAsia="zh-CN"/>
        </w:rPr>
        <w:t>部门</w:t>
      </w:r>
      <w:r>
        <w:rPr>
          <w:rFonts w:hint="eastAsia" w:ascii="黑体" w:hAnsi="黑体" w:eastAsia="黑体" w:cs="黑体"/>
          <w:b w:val="0"/>
          <w:bCs w:val="0"/>
        </w:rPr>
        <w:t>概况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机构设置及决算单位构成情况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2021</w:t>
      </w:r>
      <w:r>
        <w:rPr>
          <w:rFonts w:hint="eastAsia" w:ascii="仿宋" w:hAnsi="仿宋" w:eastAsia="仿宋" w:cs="仿宋"/>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rPr>
      </w:pPr>
      <w:r>
        <w:rPr>
          <w:rFonts w:hint="eastAsia" w:ascii="黑体" w:hAnsi="黑体" w:eastAsia="黑体" w:cs="黑体"/>
          <w:b w:val="0"/>
          <w:bCs w:val="0"/>
          <w:lang w:val="en-US" w:eastAsia="zh-CN"/>
        </w:rPr>
        <w:t>第二部分 2021年度</w:t>
      </w:r>
      <w:r>
        <w:rPr>
          <w:rFonts w:ascii="黑体" w:hAnsi="黑体" w:cs="黑体" w:eastAsia="黑体"/>
        </w:rPr>
        <w:t>部门</w:t>
      </w:r>
      <w:r>
        <w:rPr>
          <w:rFonts w:ascii="黑体" w:hAnsi="黑体" w:cs="黑体" w:eastAsia="黑体"/>
        </w:rPr>
        <w:t>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spacing w:val="-2"/>
        </w:rPr>
        <w:t>一、收入支出决算总表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rPr>
        <w:t>二、收入决算表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w w:val="95"/>
        </w:rPr>
        <w:t>三、支出决算表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894" w:hanging="11" w:firstLineChars="0"/>
        <w:jc w:val="both"/>
        <w:textAlignment w:val="auto"/>
        <w:rPr>
          <w:rFonts w:hint="eastAsia" w:ascii="仿宋" w:hAnsi="仿宋" w:eastAsia="仿宋" w:cs="仿宋"/>
        </w:rPr>
      </w:pPr>
      <w:r>
        <w:rPr>
          <w:rFonts w:hint="eastAsia" w:ascii="仿宋" w:hAnsi="仿宋" w:eastAsia="仿宋" w:cs="仿宋"/>
        </w:rPr>
        <w:t>六、财政拨款基本支出决算表（经济科目） 七、一般公共预算支出决算表（功能科目）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八、一般公共预算基本支出决算表（经济科目）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default" w:ascii="仿宋" w:hAnsi="仿宋" w:eastAsia="仿宋" w:cs="仿宋"/>
          <w:lang w:val="en-US" w:eastAsia="zh-CN"/>
        </w:rPr>
      </w:pPr>
      <w:r>
        <w:rPr>
          <w:rFonts w:hint="eastAsia" w:ascii="仿宋" w:hAnsi="仿宋" w:eastAsia="仿宋" w:cs="仿宋"/>
        </w:rPr>
        <w:t>十一、</w:t>
      </w:r>
      <w:r>
        <w:rPr>
          <w:rFonts w:hint="eastAsia" w:ascii="仿宋" w:hAnsi="仿宋" w:eastAsia="仿宋" w:cs="仿宋"/>
          <w:lang w:val="en-US" w:eastAsia="zh-CN"/>
        </w:rPr>
        <w:t>国有资本经营预算支出决算表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第三部分 2021年度</w:t>
      </w:r>
      <w:r>
        <w:rPr>
          <w:rFonts w:ascii="黑体" w:hAnsi="黑体" w:cs="黑体" w:eastAsia="黑体"/>
        </w:rPr>
        <w:t>部门</w:t>
      </w:r>
      <w:r>
        <w:rPr>
          <w:rFonts w:ascii="黑体" w:hAnsi="黑体" w:cs="黑体" w:eastAsia="黑体"/>
        </w:rPr>
        <w:t>决算情况说明</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default" w:ascii="仿宋" w:hAnsi="仿宋" w:eastAsia="仿宋" w:cs="仿宋"/>
          <w:b/>
          <w:bCs/>
          <w:color w:val="000000"/>
          <w:sz w:val="30"/>
          <w:szCs w:val="30"/>
          <w:lang w:val="en-US" w:eastAsia="zh-CN" w:bidi="ar"/>
        </w:rPr>
      </w:pPr>
      <w:r>
        <w:rPr>
          <w:rFonts w:hint="eastAsia" w:ascii="黑体" w:hAnsi="黑体" w:eastAsia="黑体" w:cs="黑体"/>
          <w:b w:val="0"/>
          <w:bCs w:val="0"/>
          <w:lang w:val="en-US" w:eastAsia="zh-CN"/>
        </w:rPr>
        <w:t>第四部分 名词解释</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283"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outlineLvl w:val="0"/>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eastAsia="zh-CN"/>
        </w:rPr>
        <w:t xml:space="preserve"> </w:t>
      </w:r>
      <w:r>
        <w:rPr>
          <w:rFonts w:hint="eastAsia" w:ascii="宋体" w:hAnsi="宋体" w:eastAsia="宋体" w:cs="宋体"/>
          <w:b/>
          <w:bCs/>
        </w:rPr>
        <w:t>部门</w:t>
      </w:r>
      <w:r>
        <w:rPr>
          <w:rFonts w:hint="eastAsia" w:ascii="宋体" w:hAnsi="宋体" w:eastAsia="宋体" w:cs="宋体"/>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南京市雨花台区人民政府铁心桥街道办事处是雨花台区人民政府的派出机关，在街道党工委的领导下，依据法律、法规和规章的规定，行使行政管理职责，负责本辖区各项行政管理工作。主要职责是：</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加强党的建设。宣传贯彻党的路线、方针、政策和国家的法律法规，全面落实上级党组织、政府的重大决策和工作部署。坚持和加强党的全面领导，统筹推进基层党建工作，落实基层党建工作责任制，突出政治功能，实现党的组织和工作全覆盖，以党建引领基层治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统筹区域发展。落实辖区内经济社会发展的重大决策部署，负责辖区内经济发展综合协调、服务工作，参与辖区建设规划和公共服务设施布局，负责辖区内财政资产监督管理工作，做好统计调查及审计等工作，推动辖区健康有序高质量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（三）组织公共服务。组织实施与居民生活密切相关的各项公共服务，贯彻落实民生领域相关政策法规，构建便民化审批服务体系，优化公共服务供给模式。指导和协调社区居民委员会群众自治组织开展工作。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实施综合管理。组织领导和综合协调辖区内地区性、综合性社会管理和文明城市创建工作，负责城乡建设、市容环境、污染防治、农林水务、公共卫生、应急处置、市场监督等工作，承担辖区内安全生产监督管理职责。</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（五）加强平安建设。负责辖区内社会治安综合治理工作，落实平安建设的属地责任，强化信访和矛盾纠纷调解工作，维护社会和谐稳定。</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（六）统一指挥调度。依托审批服务综合执法一体化平台，负责辖区内城市运营和社会治理指挥调度工作，实现层级间、部门间的协作联动，负责网格化服务管理工作。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（七）综合行政执法。依法负责辖区内综合行政执法相关工作，统筹辖区内执法力量，建立健全统一指挥协调、协同监管机制。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（八）完成区委、区政府交办的其他工作。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二、</w:t>
      </w:r>
      <w:r>
        <w:rPr>
          <w:rFonts w:ascii="黑体" w:hAnsi="黑体" w:cs="黑体" w:eastAsia="黑体"/>
        </w:rPr>
        <w:t>部门</w:t>
      </w:r>
      <w:r>
        <w:rPr>
          <w:rFonts w:hint="eastAsia" w:ascii="黑体" w:hAnsi="黑体" w:eastAsia="黑体" w:cs="黑体"/>
          <w:b w:val="0"/>
          <w:bCs w:val="0"/>
        </w:rPr>
        <w:t>机构设置及决算单位构成情况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
      </w:r>
      <w:r>
        <w:rPr>
          <w:rFonts w:hint="eastAsia" w:ascii="仿宋" w:hAnsi="仿宋" w:eastAsia="仿宋" w:cs="仿宋"/>
          <w:lang w:val="en-US" w:eastAsia="zh-CN"/>
        </w:rPr>
        <w:t>1.</w:t>
      </w:r>
      <w:bookmarkStart w:id="0" w:name="_GoBack"/>
      <w:bookmarkEnd w:id="0"/>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党政综合部、民生保障部、城市建设部、发展服务部、农业事务部、财政资产部、综合行政执法局、社会治理综合指挥中心、便民服务中心、妇联、纪工委、人武、人大、统战、团委、工会、社区事务服务中心；5个涉农社区，分别为铁心村、尹西村、定坊村、马家店村、高家库村；4个纯社区，分别为春江社区、新河社区、景明佳园社区、翠岭银河社区。</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铁心房地产开发有限公司、铁心桥工业区开发有限公司、南京神谷基础工程有限公司、南京铁心桥农工商总公司、南京雨铁劳务公司、南京铁心旅游公司、南京铁心桥物业服务中心有限公司。其中：房产开发公司承担了街道的融资任务。农工商公司、工业区开发有限公司、神谷基础公司、南京铁心桥物业服务中心有限公司和村、社区的财务核算工作由街道财政资产部负责。</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2.</w:t>
      </w:r>
      <w:r>
        <w:rPr>
          <w:rFonts w:hint="eastAsia" w:ascii="仿宋" w:hAnsi="仿宋" w:eastAsia="仿宋" w:cs="仿宋"/>
        </w:rPr>
        <w:t>从决算单位构成看，纳入本</w:t>
      </w:r>
      <w:r>
        <w:rPr>
          <w:rFonts w:hint="eastAsia" w:ascii="仿宋" w:hAnsi="仿宋" w:eastAsia="仿宋" w:cs="仿宋"/>
          <w:lang w:val="en-US" w:eastAsia="zh-CN"/>
        </w:rPr>
        <w:t>部门</w:t>
      </w:r>
      <w:r>
        <w:rPr>
          <w:rFonts w:hint="eastAsia" w:ascii="仿宋" w:hAnsi="仿宋" w:eastAsia="仿宋" w:cs="仿宋"/>
          <w:lang w:eastAsia="zh-CN"/>
        </w:rPr>
        <w:t>2021</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汇总决算编制范围的预算单位共计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1</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南京市雨花台区人民政府铁心桥街道办事处本级。</w:t>
      </w:r>
      <w:r>
        <w:rPr>
          <w:rFonts w:ascii="仿宋" w:hAnsi="仿宋" w:cs="仿宋" w:eastAsia="仿宋"/>
        </w:rPr>
        <w:t/>
      </w:r>
      <w:r>
        <w:rPr>
          <w:rFonts w:ascii="仿宋" w:hAnsi="仿宋" w:cs="仿宋" w:eastAsia="仿宋"/>
        </w:rPr>
        <w:t/>
      </w:r>
      <w:r>
        <w:rPr>
          <w:rFonts w:hint="eastAsia" w:ascii="仿宋" w:hAnsi="仿宋" w:eastAsia="仿宋" w:cs="仿宋"/>
          <w:lang w:val="en-US" w:eastAsia="zh-CN"/>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三、</w:t>
      </w:r>
      <w:r>
        <w:rPr>
          <w:rFonts w:hint="eastAsia" w:ascii="黑体" w:hAnsi="黑体" w:eastAsia="黑体" w:cs="黑体"/>
          <w:b w:val="0"/>
          <w:bCs w:val="0"/>
          <w:lang w:eastAsia="zh-CN"/>
        </w:rPr>
        <w:t>2021</w:t>
      </w:r>
      <w:r>
        <w:rPr>
          <w:rFonts w:hint="eastAsia" w:ascii="黑体" w:hAnsi="黑体" w:eastAsia="黑体" w:cs="黑体"/>
          <w:b w:val="0"/>
          <w:bCs w:val="0"/>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（一）全面加强党的建设，基层党建持续深化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深入推进党支部标准化、规范化建设。按照《党章》《中国共产党支部工作条例（试行）》等规定，严格审查条件、规范程序，新成立10个党支部，指导完成社区二级党支部换届选举及非公党组织委员补选工作。二是切实做好“两优一先”推荐上报及评选表彰工作。稳步推进街道评比表彰工作，召开“七一”表彰大会，表彰街道优秀共产党员30名、优秀党务工作者12名、先进基层党组织3个，充分展示先进典型的精神风范，形成争做先锋的良好氛围。三是有序推进“光荣在党50年”纪念章统计发放工作。按照区委、街道党工委要求，严格筛选、认真审查，以“光荣在党50年”党员集体政治生日的形式，为党员颁发纪念章，共颁发“光荣在党50年”纪念章207枚，激励年轻党员传承老一辈共产党员的光荣传统和优良作风，为铁心迈进新征程、奋进新时代鼓起精气神、展现新作为。</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（二）加快激发创新活力，治理能力不断提升</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创新举措，做好政务服务工作。街道组织各社区12345负责人及物业负责人，前往多次获得国家省市先进称号的瑞金新村社区进行调研学习，吸取其在物业管理、社会服务先进工作经验。二是创新驱动，全面助推自管物业改革。对辖区内7家自管物业公司情况进行摸底，明确改革工作目标。严格控制并有步骤地削减自管物业企业员工规模，按照物业行业标准科学核定自管物业企业员工数量，完善用人制度及薪酬制度体系，激发员工工作动力。三是创投项目，强化社区建设。本年度落地公益项目34个，包括街道社服中心项目1个、市创投项目3个、区创投项目4个、薪火项目2个、精品社区项目16个及社区购买服务项目13个。</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（三）充分落实民生保障，人民生活有效改善</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稳步落实就业创业政策。充分利用街道、社区办事大厅、宣传栏、微信公众号、“网格”微信群等，多维度宣传就业创业优惠政策。二是依法依规开展社会救助。运用网格化治理机制，按照“一户不落、一人不少”和兜底保障“发现一户、救助一户”要求，排查需要帮助救助的困难人员，通过季度审核、半年审核、年审审核，本着“应进就进、应退尽退”的原则做好低保工作。三是关心关爱优抚人员。定期走访优抚对象，帮助解决生活困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（四）不断提升发展潜力，项目建设深入推动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全力保障经济运行。围绕商圈开展形式多样的消费促进活动，大力推动消费载体升级、消费品质提升，不断增强消费对经济增长的拉动作用。二是有序组织生产调度。广泛宣传碳达峰工作要求，引导辖区内企事业单位节能省电。三是深入挖潜招商项目。全面拓宽招商渠道，围绕车联、物联、工业互联网、新能源等重点领域，推进禹洲新都市智能制造产业园项目招商，积极对接招商代理公司、平台公司，召开工作推进会，洽谈拟定招商运营公司。</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283"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outlineLvl w:val="0"/>
        <w:rPr>
          <w:rFonts w:hint="eastAsia" w:ascii="宋体" w:hAnsi="宋体" w:eastAsia="宋体" w:cs="宋体"/>
          <w:b/>
          <w:bCs/>
          <w:sz w:val="36"/>
          <w:szCs w:val="36"/>
          <w:lang w:val="en-US" w:eastAsia="zh-CN"/>
        </w:rPr>
      </w:pPr>
      <w:r>
        <w:rPr>
          <w:rFonts w:hint="eastAsia" w:ascii="宋体" w:hAnsi="宋体" w:eastAsia="宋体" w:cs="宋体"/>
          <w:b/>
          <w:bCs/>
          <w:sz w:val="36"/>
          <w:szCs w:val="36"/>
        </w:rPr>
        <w:t>第二部分</w:t>
      </w:r>
    </w:p>
    <w:p>
      <w:pPr>
        <w:pStyle w:val="21"/>
        <w:widowControl w:val="0"/>
        <w:tabs>
          <w:tab w:val="left" w:pos="1609"/>
        </w:tabs>
        <w:suppressAutoHyphens/>
        <w:bidi w:val="0"/>
        <w:spacing w:before="12" w:after="0"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u w:val="none"/>
        </w:rPr>
        <w:t>南京市雨花台区铁心桥街道办事处</w:t>
      </w:r>
    </w:p>
    <w:p>
      <w:pPr>
        <w:pStyle w:val="21"/>
        <w:widowControl w:val="0"/>
        <w:tabs>
          <w:tab w:val="left" w:pos="1609"/>
        </w:tabs>
        <w:suppressAutoHyphens/>
        <w:bidi w:val="0"/>
        <w:spacing w:before="12" w:after="0"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2021</w:t>
      </w:r>
      <w:r>
        <w:rPr>
          <w:rFonts w:hint="eastAsia" w:ascii="宋体" w:hAnsi="宋体" w:eastAsia="宋体" w:cs="宋体"/>
          <w:b/>
          <w:bCs/>
          <w:sz w:val="36"/>
          <w:szCs w:val="36"/>
        </w:rPr>
        <w:t>年度</w:t>
      </w:r>
      <w:r>
        <w:rPr>
          <w:rFonts w:hint="eastAsia" w:ascii="宋体" w:hAnsi="宋体" w:eastAsia="宋体" w:cs="宋体"/>
          <w:b/>
          <w:bCs/>
          <w:sz w:val="36"/>
          <w:szCs w:val="36"/>
          <w:lang w:val="en-US" w:eastAsia="zh-CN"/>
        </w:rPr>
        <w:t>部门</w:t>
      </w:r>
      <w:r>
        <w:rPr>
          <w:rFonts w:ascii="宋体" w:hAnsi="宋体" w:cs="宋体" w:eastAsia="宋体"/>
          <w:b w:val="true"/>
          <w:sz w:val="36"/>
        </w:rPr>
        <w:t>决算表</w:t>
      </w:r>
    </w:p>
    <w:tbl>
      <w:tblPr>
        <w:tblStyle w:val="12"/>
        <w:tblW w:w="10447" w:type="dxa"/>
        <w:jc w:val="center"/>
        <w:tblLayout w:type="fixed"/>
        <w:tblCellMar>
          <w:top w:w="0" w:type="dxa"/>
          <w:left w:w="108" w:type="dxa"/>
          <w:bottom w:w="0" w:type="dxa"/>
          <w:right w:w="108" w:type="dxa"/>
        </w:tblCellMar>
      </w:tblPr>
      <w:tblGrid>
        <w:gridCol w:w="3784"/>
        <w:gridCol w:w="1461"/>
        <w:gridCol w:w="2035"/>
        <w:gridCol w:w="1709"/>
        <w:gridCol w:w="1458"/>
      </w:tblGrid>
      <w:tr>
        <w:tblPrEx>
          <w:tblCellMar>
            <w:top w:w="0" w:type="dxa"/>
            <w:left w:w="108" w:type="dxa"/>
            <w:bottom w:w="0" w:type="dxa"/>
            <w:right w:w="108" w:type="dxa"/>
          </w:tblCellMar>
        </w:tblPrEx>
        <w:trPr>
          <w:trHeight w:val="544" w:hRule="atLeast"/>
          <w:jc w:val="center"/>
        </w:trPr>
        <w:tc>
          <w:tcPr>
            <w:tcW w:w="10447" w:type="dxa"/>
            <w:gridSpan w:val="5"/>
          </w:tcPr>
          <w:p>
            <w:pPr>
              <w:pageBreakBefore/>
              <w:widowControl w:val="0"/>
              <w:ind w:left="0" w:right="0" w:firstLine="0"/>
              <w:jc w:val="center"/>
              <w:textAlignment w:val="auto"/>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tblPrEx>
          <w:tblCellMar>
            <w:top w:w="0" w:type="dxa"/>
            <w:left w:w="108" w:type="dxa"/>
            <w:bottom w:w="0" w:type="dxa"/>
            <w:right w:w="108" w:type="dxa"/>
          </w:tblCellMar>
        </w:tblPrEx>
        <w:trPr>
          <w:trHeight w:val="348" w:hRule="atLeast"/>
          <w:jc w:val="center"/>
        </w:trPr>
        <w:tc>
          <w:tcPr>
            <w:tcW w:w="3784" w:type="dxa"/>
          </w:tcPr>
          <w:p>
            <w:pPr>
              <w:widowControl w:val="0"/>
              <w:ind w:left="0" w:right="0" w:firstLine="0"/>
              <w:jc w:val="left"/>
              <w:textAlignment w:val="auto"/>
              <w:rPr>
                <w:rFonts w:hint="eastAsia" w:ascii="仿宋" w:hAnsi="仿宋" w:eastAsia="仿宋" w:cs="仿宋"/>
                <w:color w:val="000000"/>
                <w:sz w:val="20"/>
              </w:rPr>
            </w:pPr>
          </w:p>
        </w:tc>
        <w:tc>
          <w:tcPr>
            <w:tcW w:w="1461" w:type="dxa"/>
          </w:tcPr>
          <w:p>
            <w:pPr>
              <w:widowControl w:val="0"/>
              <w:ind w:left="0" w:right="0" w:firstLine="0"/>
              <w:jc w:val="left"/>
              <w:textAlignment w:val="auto"/>
              <w:rPr>
                <w:rFonts w:hint="eastAsia" w:ascii="仿宋" w:hAnsi="仿宋" w:eastAsia="仿宋" w:cs="仿宋"/>
                <w:color w:val="000000"/>
                <w:sz w:val="20"/>
              </w:rPr>
            </w:pPr>
          </w:p>
        </w:tc>
        <w:tc>
          <w:tcPr>
            <w:tcW w:w="5202" w:type="dxa"/>
            <w:gridSpan w:val="3"/>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color w:val="000000"/>
                <w:sz w:val="22"/>
                <w:szCs w:val="22"/>
                <w:lang w:eastAsia="ar-SA"/>
              </w:rPr>
              <w:t>南京市雨花台区铁心桥街道办事处</w:t>
            </w:r>
          </w:p>
        </w:tc>
        <w:tc>
          <w:tcPr>
            <w:tcW w:w="3167"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rPr>
              <w:t>金额单位：万元</w:t>
            </w:r>
          </w:p>
        </w:tc>
      </w:tr>
      <w:tr>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支出</w:t>
            </w:r>
          </w:p>
        </w:tc>
      </w:tr>
      <w:tr>
        <w:tblPrEx>
          <w:tblCellMar>
            <w:top w:w="0" w:type="dxa"/>
            <w:left w:w="108" w:type="dxa"/>
            <w:bottom w:w="0" w:type="dxa"/>
            <w:right w:w="108" w:type="dxa"/>
          </w:tblCellMar>
        </w:tblPrEx>
        <w:trPr>
          <w:trHeight w:val="39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ascii="仿宋" w:hAnsi="仿宋" w:cs="仿宋" w:eastAsia="仿宋"/>
                <w:color w:val="000000"/>
                <w:sz w:val="22"/>
              </w:rPr>
              <w:t>项目</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按功能分类</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27,300.17</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6,852.57</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3,408.93</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33.75</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四、上级补助收入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1,485.39</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344.49</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六、经营收入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七、附属单位上缴收入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364.81</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八、其他收入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4,769.78</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5,881.83</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九、卫生健康支出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2,822.34</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十、节能环保支出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15.00</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十一、城乡社区支出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13,500.21</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十二、农林水支出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2,040.48</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十三、交通运输支出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20.00</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十四、资源勘探工业信息等支出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1,644.19</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十五、商业服务业等支出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64.91</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十六、金融支出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十七、援助其他地区支出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十八、自然资源海洋气象等支出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50.00</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十九、住房保障支出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340.90</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二十、粮油物资储备支出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二十一、国有资本经营预算支出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33.75</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二十二、灾害防治及应急管理支出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8.22</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二十三、其他支出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43.54</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二十四、债务还本支出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二十五、债务付息支出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二十六、抗疫特别国债安排的支出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35,512.63</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35,512.63</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使用非财政拨款结余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结余分配</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年初结转和结余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年末结转和结余</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383" w:hRule="atLeast"/>
          <w:jc w:val="center"/>
        </w:trPr>
        <w:tc>
          <w:tcPr>
            <w:tcW w:w="3784"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61"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3744" w:type="dxa"/>
            <w:gridSpan w:val="2"/>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58"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r>
      <w:tr>
        <w:tblPrEx>
          <w:tblCellMar>
            <w:top w:w="0" w:type="dxa"/>
            <w:left w:w="108" w:type="dxa"/>
            <w:bottom w:w="0" w:type="dxa"/>
            <w:right w:w="108" w:type="dxa"/>
          </w:tblCellMar>
        </w:tblPrEx>
        <w:trPr>
          <w:cantSplit/>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35,512.63</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35,512.63</w:t>
            </w:r>
          </w:p>
        </w:tc>
      </w:tr>
    </w:tbl>
    <w:p>
      <w:pPr>
        <w:widowControl w:val="0"/>
        <w:suppressAutoHyphens/>
        <w:bidi w:val="0"/>
        <w:spacing w:before="66" w:after="0"/>
        <w:ind w:left="0" w:leftChars="0" w:right="0" w:rightChars="0" w:firstLine="0" w:firstLineChars="0"/>
        <w:jc w:val="both"/>
        <w:rPr>
          <w:rFonts w:hint="eastAsia" w:ascii="仿宋" w:hAnsi="仿宋" w:eastAsia="仿宋" w:cs="仿宋"/>
          <w:b w:val="0"/>
          <w:bCs w:val="0"/>
          <w:color w:val="000000"/>
          <w:sz w:val="22"/>
          <w:szCs w:val="22"/>
          <w:lang w:val="en-US" w:eastAsia="zh-CN"/>
        </w:rPr>
      </w:pPr>
      <w:r>
        <w:rPr>
          <w:rFonts w:hint="eastAsia" w:ascii="仿宋" w:hAnsi="仿宋" w:eastAsia="仿宋" w:cs="仿宋"/>
          <w:b w:val="0"/>
          <w:bCs w:val="0"/>
          <w:color w:val="000000"/>
          <w:sz w:val="22"/>
          <w:szCs w:val="22"/>
          <w:lang w:val="en-US" w:eastAsia="zh-CN"/>
        </w:rPr>
        <w:t>注：本表反映本年度的总收支和年末结转结余情况。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color w:val="000000"/>
          <w:sz w:val="22"/>
          <w:szCs w:val="22"/>
          <w:lang w:val="en-US" w:eastAsia="zh-CN"/>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right="0"/>
        <w:jc w:val="both"/>
        <w:rPr>
          <w:rFonts w:hint="eastAsia" w:ascii="仿宋" w:hAnsi="仿宋" w:eastAsia="仿宋" w:cs="仿宋"/>
          <w:b w:val="0"/>
          <w:bCs w:val="0"/>
          <w:color w:val="000000"/>
          <w:sz w:val="22"/>
          <w:szCs w:val="22"/>
        </w:rPr>
        <w:sectPr>
          <w:footerReference r:id="rId8"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39" w:type="dxa"/>
        <w:jc w:val="center"/>
        <w:tblLayout w:type="fixed"/>
        <w:tblCellMar>
          <w:top w:w="0" w:type="dxa"/>
          <w:left w:w="108" w:type="dxa"/>
          <w:bottom w:w="0" w:type="dxa"/>
          <w:right w:w="108" w:type="dxa"/>
        </w:tblCellMar>
      </w:tblPr>
      <w:tblGrid>
        <w:gridCol w:w="1115"/>
        <w:gridCol w:w="2925"/>
        <w:gridCol w:w="1592"/>
        <w:gridCol w:w="1604"/>
        <w:gridCol w:w="1565"/>
        <w:gridCol w:w="1396"/>
        <w:gridCol w:w="1578"/>
        <w:gridCol w:w="1174"/>
        <w:gridCol w:w="1277"/>
        <w:gridCol w:w="1213"/>
      </w:tblGrid>
      <w:tr>
        <w:tblPrEx>
          <w:tblCellMar>
            <w:top w:w="0" w:type="dxa"/>
            <w:left w:w="108" w:type="dxa"/>
            <w:bottom w:w="0" w:type="dxa"/>
            <w:right w:w="108" w:type="dxa"/>
          </w:tblCellMar>
        </w:tblPrEx>
        <w:trPr>
          <w:trHeight w:val="627" w:hRule="atLeast"/>
          <w:jc w:val="center"/>
        </w:trPr>
        <w:tc>
          <w:tcPr>
            <w:tcW w:w="15439" w:type="dxa"/>
            <w:gridSpan w:val="10"/>
            <w:vAlign w:val="center"/>
          </w:tcPr>
          <w:p>
            <w:pPr>
              <w:pStyle w:val="5"/>
              <w:widowControl w:val="0"/>
              <w:rPr>
                <w:rFonts w:hint="eastAsia" w:ascii="仿宋" w:hAnsi="仿宋" w:eastAsia="仿宋" w:cs="仿宋"/>
                <w:b/>
                <w:bCs/>
                <w:sz w:val="44"/>
                <w:szCs w:val="44"/>
                <w:lang w:val="en-US" w:eastAsia="zh-CN"/>
              </w:rPr>
            </w:pPr>
            <w:r>
              <w:rPr>
                <w:rFonts w:hint="eastAsia" w:ascii="宋体" w:hAnsi="宋体" w:eastAsia="宋体" w:cs="宋体"/>
                <w:b/>
                <w:bCs/>
                <w:color w:val="000000"/>
                <w:kern w:val="0"/>
                <w:sz w:val="36"/>
                <w:szCs w:val="36"/>
                <w:lang w:val="zh-CN" w:eastAsia="ar-SA" w:bidi="zh-CN"/>
              </w:rPr>
              <w:t>收入决算表</w:t>
            </w:r>
          </w:p>
        </w:tc>
      </w:tr>
      <w:tr>
        <w:tblPrEx>
          <w:tblCellMar>
            <w:top w:w="0" w:type="dxa"/>
            <w:left w:w="108" w:type="dxa"/>
            <w:bottom w:w="0" w:type="dxa"/>
            <w:right w:w="108" w:type="dxa"/>
          </w:tblCellMar>
        </w:tblPrEx>
        <w:trPr>
          <w:trHeight w:val="314" w:hRule="atLeast"/>
          <w:jc w:val="center"/>
        </w:trPr>
        <w:tc>
          <w:tcPr>
            <w:tcW w:w="4040" w:type="dxa"/>
            <w:gridSpan w:val="2"/>
            <w:vAlign w:val="center"/>
          </w:tcPr>
          <w:p>
            <w:pPr>
              <w:pStyle w:val="22"/>
              <w:widowControl w:val="0"/>
              <w:jc w:val="center"/>
              <w:rPr>
                <w:rFonts w:hint="eastAsia" w:ascii="仿宋" w:hAnsi="仿宋" w:eastAsia="仿宋" w:cs="仿宋"/>
              </w:rPr>
            </w:pPr>
          </w:p>
        </w:tc>
        <w:tc>
          <w:tcPr>
            <w:tcW w:w="1592" w:type="dxa"/>
            <w:vAlign w:val="center"/>
          </w:tcPr>
          <w:p>
            <w:pPr>
              <w:pStyle w:val="22"/>
              <w:widowControl w:val="0"/>
              <w:jc w:val="center"/>
              <w:rPr>
                <w:rFonts w:hint="eastAsia" w:ascii="仿宋" w:hAnsi="仿宋" w:eastAsia="仿宋" w:cs="仿宋"/>
              </w:rPr>
            </w:pPr>
          </w:p>
        </w:tc>
        <w:tc>
          <w:tcPr>
            <w:tcW w:w="1604" w:type="dxa"/>
            <w:vAlign w:val="center"/>
          </w:tcPr>
          <w:p>
            <w:pPr>
              <w:pStyle w:val="22"/>
              <w:widowControl w:val="0"/>
              <w:jc w:val="center"/>
              <w:rPr>
                <w:rFonts w:hint="eastAsia" w:ascii="仿宋" w:hAnsi="仿宋" w:eastAsia="仿宋" w:cs="仿宋"/>
              </w:rPr>
            </w:pPr>
          </w:p>
        </w:tc>
        <w:tc>
          <w:tcPr>
            <w:tcW w:w="1565" w:type="dxa"/>
            <w:vAlign w:val="center"/>
          </w:tcPr>
          <w:p>
            <w:pPr>
              <w:pStyle w:val="22"/>
              <w:widowControl w:val="0"/>
              <w:jc w:val="center"/>
              <w:rPr>
                <w:rFonts w:hint="eastAsia" w:ascii="仿宋" w:hAnsi="仿宋" w:eastAsia="仿宋" w:cs="仿宋"/>
              </w:rPr>
            </w:pPr>
          </w:p>
        </w:tc>
        <w:tc>
          <w:tcPr>
            <w:tcW w:w="2974" w:type="dxa"/>
            <w:gridSpan w:val="2"/>
            <w:vAlign w:val="center"/>
          </w:tcPr>
          <w:p>
            <w:pPr>
              <w:pStyle w:val="22"/>
              <w:widowControl w:val="0"/>
              <w:jc w:val="center"/>
              <w:rPr>
                <w:rFonts w:hint="eastAsia" w:ascii="仿宋" w:hAnsi="仿宋" w:eastAsia="仿宋" w:cs="仿宋"/>
              </w:rPr>
            </w:pPr>
          </w:p>
        </w:tc>
        <w:tc>
          <w:tcPr>
            <w:tcW w:w="1174" w:type="dxa"/>
            <w:vAlign w:val="center"/>
          </w:tcPr>
          <w:p>
            <w:pPr>
              <w:pStyle w:val="22"/>
              <w:widowControl w:val="0"/>
              <w:jc w:val="center"/>
              <w:rPr>
                <w:rFonts w:hint="eastAsia" w:ascii="仿宋" w:hAnsi="仿宋" w:eastAsia="仿宋" w:cs="仿宋"/>
              </w:rPr>
            </w:pP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公开02表</w:t>
            </w:r>
          </w:p>
        </w:tc>
      </w:tr>
      <w:tr>
        <w:tblPrEx>
          <w:tblCellMar>
            <w:top w:w="0" w:type="dxa"/>
            <w:left w:w="108" w:type="dxa"/>
            <w:bottom w:w="0" w:type="dxa"/>
            <w:right w:w="108" w:type="dxa"/>
          </w:tblCellMar>
        </w:tblPrEx>
        <w:trPr>
          <w:trHeight w:val="376" w:hRule="atLeast"/>
          <w:jc w:val="center"/>
        </w:trPr>
        <w:tc>
          <w:tcPr>
            <w:tcW w:w="12949" w:type="dxa"/>
            <w:gridSpan w:val="8"/>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南京市雨花台区铁心桥街道办事处</w:t>
            </w: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0" w:type="dxa"/>
            <w:left w:w="108" w:type="dxa"/>
            <w:bottom w:w="0" w:type="dxa"/>
            <w:right w:w="108" w:type="dxa"/>
          </w:tblCellMar>
        </w:tblPrEx>
        <w:trPr>
          <w:cantSplit/>
          <w:trHeight w:val="312" w:hRule="atLeast"/>
          <w:jc w:val="center"/>
        </w:trPr>
        <w:tc>
          <w:tcPr>
            <w:tcW w:w="404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w:t>
            </w:r>
          </w:p>
        </w:tc>
        <w:tc>
          <w:tcPr>
            <w:tcW w:w="1592"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本年收入合计</w:t>
            </w:r>
          </w:p>
        </w:tc>
        <w:tc>
          <w:tcPr>
            <w:tcW w:w="160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财政拨款收入</w:t>
            </w:r>
          </w:p>
        </w:tc>
        <w:tc>
          <w:tcPr>
            <w:tcW w:w="1565"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上级补助收入</w:t>
            </w:r>
          </w:p>
        </w:tc>
        <w:tc>
          <w:tcPr>
            <w:tcW w:w="1396"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财政专户管理教育收费</w:t>
            </w:r>
          </w:p>
        </w:tc>
        <w:tc>
          <w:tcPr>
            <w:tcW w:w="1578"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事业收入（不含专户管理教育收费）</w:t>
            </w:r>
          </w:p>
        </w:tc>
        <w:tc>
          <w:tcPr>
            <w:tcW w:w="117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经营收入</w:t>
            </w:r>
          </w:p>
        </w:tc>
        <w:tc>
          <w:tcPr>
            <w:tcW w:w="1277"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附属单位上缴收入</w:t>
            </w:r>
          </w:p>
        </w:tc>
        <w:tc>
          <w:tcPr>
            <w:tcW w:w="1213"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其他收入</w:t>
            </w:r>
          </w:p>
        </w:tc>
      </w:tr>
      <w:tr>
        <w:tblPrEx>
          <w:tblCellMar>
            <w:top w:w="0" w:type="dxa"/>
            <w:left w:w="108" w:type="dxa"/>
            <w:bottom w:w="0" w:type="dxa"/>
            <w:right w:w="108" w:type="dxa"/>
          </w:tblCellMar>
        </w:tblPrEx>
        <w:trPr>
          <w:cantSplit/>
          <w:trHeight w:val="220" w:hRule="atLeast"/>
          <w:jc w:val="center"/>
        </w:trPr>
        <w:tc>
          <w:tcPr>
            <w:tcW w:w="111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9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592"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60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565"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96"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578"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17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77"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13"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0" w:type="dxa"/>
            <w:left w:w="108" w:type="dxa"/>
            <w:bottom w:w="0" w:type="dxa"/>
            <w:right w:w="108" w:type="dxa"/>
          </w:tblCellMar>
        </w:tblPrEx>
        <w:trPr>
          <w:cantSplit/>
          <w:trHeight w:val="432" w:hRule="exact"/>
          <w:jc w:val="center"/>
        </w:trPr>
        <w:tc>
          <w:tcPr>
            <w:tcW w:w="404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59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35,512.63</w:t>
            </w:r>
          </w:p>
        </w:tc>
        <w:tc>
          <w:tcPr>
            <w:tcW w:w="160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30,742.85</w:t>
            </w:r>
          </w:p>
        </w:tc>
        <w:tc>
          <w:tcPr>
            <w:tcW w:w="1565"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39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57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17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27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213"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4,769.78</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一般公共服务支出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6,852.57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4,185.06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2,667.51</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人大事务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51.35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49.69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行政运行</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50.35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49.69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0.66</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一般行政管理事务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政协事务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2010202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一般行政管理事务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政府办公厅（室）及相关机构事务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4,384.63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1,925.90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2,458.73</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2010301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行政运行</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4,242.65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1,803.86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2,438.79</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2010302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一般行政管理事务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118.94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19.94</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2010308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信访事务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2010399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其他政府办公厅（室）及相关机构事务支出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统计信息事务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476.74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476.74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2010507</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专项普查活动</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476.20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476.20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2010508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统计抽样调查</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财政事务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78.38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54.58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23.80</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2010601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行政运行</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68.35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46.28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22.07</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2010602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一般行政管理事务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1.73</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2010699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其他财政事务支出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纪检监察事务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2011199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其他纪检监察事务支出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20123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民族事务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2012399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其他民族事务支出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20129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群众团体事务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38.96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38.96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2012999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其他群众团体事务支出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38.96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38.96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20131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党委办公厅（室）及相关机构事务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79.93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79.93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2013102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一般行政管理事务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79.93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79.93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20133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宣传事务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725.19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725.19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2013399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其他宣传事务支出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725.19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725.19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20134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统战事务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2013401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行政运行</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2013402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一般行政管理事务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20136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其他共产党事务支出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234.44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227.06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7.38</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2013699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其他共产党事务支出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234.44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227.06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7.38</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20138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市场监督管理事务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2013804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市场主体管理</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其他一般公共服务支出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625.09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450.30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174.79</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2019999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其他一般公共服务支出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625.09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450.30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174.79</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公共安全支出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1,485.39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1,069.23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416.16</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20402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公安</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1,137.28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980.66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156.62</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2040299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其他公安支出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1,137.28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980.66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156.62</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20406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司法</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265.36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253.12</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2040604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基层司法业务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35.26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35.26</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2040699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其他司法支出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230.10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217.86</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20499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其他公共安全支出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82.75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76.33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6.42</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2049999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其他公共安全支出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82.75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76.33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6.42</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教育支出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344.49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330.64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13.85</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普通教育</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2050201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学前教育</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成人教育</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13.85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13.85</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2050499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其他成人教育支出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13.85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13.85</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其他教育支出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96.25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96.25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2059999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其他教育支出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96.25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96.25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文化旅游体育与传媒支出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364.81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325.47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39.34</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文化和旅游</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331.44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321.59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9.85</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2070107</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艺术表演团体</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0.71</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2070108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文化活动</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2070199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其他文化和旅游支出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329.73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320.59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9.14</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体育</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2070399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其他体育支出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其他文化旅游体育与传媒支出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31.37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29.49</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2079999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其他文化旅游体育与传媒支出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31.37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29.49</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5,881.83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5,752.31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129.52</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人力资源和社会保障管理事务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162.82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137.45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25.37</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2080106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就业管理事务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162.82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137.45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25.37</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民政管理事务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3,141.28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3,141.28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2080208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基层政权建设和社区治理</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3,141.28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3,141.28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行政事业单位养老支出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261.12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156.97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104.15</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行政单位离退休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199.10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156.97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42.13</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其他行政事业单位养老支出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62.02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62.02</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20807</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就业补助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50.87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50.87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2080701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就业创业服务补贴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2080799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其他就业补助支出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26.57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26.57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抚恤</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303.60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303.60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2080899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其他优抚支出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303.60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303.60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退役安置</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130.49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130.49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2080901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退役士兵安置</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115.81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115.81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其他退役安置支出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20810</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社会福利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174.15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174.15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2081001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儿童福利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20.20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20.20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2081002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老年福利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91.64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91.64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2081004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殡葬</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40.42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40.42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2081006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养老服务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21.89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21.89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残疾人事业</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274.48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274.48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2081107</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残疾人生活和护理补贴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145.44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145.44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2081199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其他残疾人事业支出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129.04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129.04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20816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红十字事业</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2081699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其他红十字事业支出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20819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最低生活保障</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716.51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716.51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2081901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城市最低生活保障金支出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716.51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716.51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20820</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临时救助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98.72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98.72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2082001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临时救助支出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96.22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96.22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2082002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流浪乞讨人员救助支出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20821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特困人员救助供养</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94.52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94.52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2082101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城市特困人员救助供养支出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94.52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94.52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20825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其他生活救助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2082501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其他城市生活救助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20827</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财政对其他社会保险基金的补助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333.47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333.47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2082799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其他财政对社会保险基金的补助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333.47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333.47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20828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退役军人管理事务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95.43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95.43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2082804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拥军优属</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95.43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95.43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卫生健康支出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2,822.34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2,821.74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0.60</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基层医疗卫生机构</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59.72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59.72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2100399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其他基层医疗卫生机构支出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59.72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59.72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公共卫生</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2,434.77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2,434.17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0.60</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2100408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基本公共卫生服务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305.29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305.29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2100409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重大公共卫生服务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0.60</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2100410</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突发公共卫生事件应急处理</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2,110.00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2,110.00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2100499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其他公共卫生支出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21007</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计划生育事务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142.72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142.72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2100717</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计划生育服务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95.45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95.45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2100799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其他计划生育事务支出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47.27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47.27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46.94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46.94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32.16</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公务员医疗补助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医疗救助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2101399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其他医疗救助支出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优抚对象医疗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2101401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优抚对象医疗补助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其他卫生健康支出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115.40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115.40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其他卫生健康支出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115.40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115.40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节能环保支出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污染防治</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2110302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水体</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2110399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其他污染防治支出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城乡社区支出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13,500.21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12,454.70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1,045.51</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城乡社区管理事务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2,230.93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1,542.42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688.51</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行政运行</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48.81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48.81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2120104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城管执法</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813.96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142.33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671.63</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2120199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其他城乡社区管理事务支出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1,368.16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1,351.28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16.88</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城乡社区规划与管理</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1,650.96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1,624.05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26.91</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2120201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城乡社区规划与管理</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1,650.96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1,624.05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26.91</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城乡社区公共设施</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84.15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83.59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0.56</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2120303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小城镇基础设施建设</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44.41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44.41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2120399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其他城乡社区公共设施支出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39.74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39.18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0.56</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城乡社区环境卫生</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120.60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120.60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2120501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城乡社区环境卫生</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120.60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120.60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国有土地使用权出让收入安排的支出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3,365.39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3,365.39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2120803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城市建设支出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3,300.69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3,300.69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2120804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农村基础设施建设支出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64.70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64.70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其他城乡社区支出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6,048.18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5,718.65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329.53</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2129999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其他城乡社区支出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6,048.18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5,718.65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329.53</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农林水支出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2,040.48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1,937.05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103.43</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21301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农业农村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36.84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8.16</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2130104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事业运行</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28.96</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20.80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8.16</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2130152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对高校毕业生到基层任职补助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2130199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其他农业农村支出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21302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林业和草原</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938.11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938.11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2130205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森林资源培育</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724.54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724.54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2130234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林业草原防灾减灾</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85.28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85.28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2130299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其他林业和草原支出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128.29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128.29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21303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水利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589.68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494.41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95.27</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2130306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水利工程运行与维护</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582.95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487.68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95.27</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2130314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防汛</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21307</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农村综合改革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403.69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403.69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2130706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对村集体经济组织的补助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403.69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403.69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21399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其他农林水支出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2139999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其他农林水支出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交通运输支出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21401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公路水路运输</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2140106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公路养护</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资源勘探工业信息等支出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1,644.19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1,423.05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221.14</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21505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工业和信息产业监管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218.00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218.00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2150599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其他工业和信息产业监管支出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218.00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218.00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21508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支持中小企业发展和管理支出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221.14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221.14</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2150899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其他支持中小企业发展和管理支出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221.14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221.14</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21599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其他资源勘探工业信息等支出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1,205.05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1,205.05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2159999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其他资源勘探工业信息等支出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1,205.05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1,205.05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商业服务业等支出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64.91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6.22</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21699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其他商业服务业等支出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64.91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6.22</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2169999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其他商业服务业等支出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64.91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6.22</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220</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自然资源海洋气象等支出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22001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自然资源事务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2200106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自然资源利用与保护</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住房保障支出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340.90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214.40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126.50</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住房改革支出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338.80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213.90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124.90</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住房公积金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338.80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213.90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124.90</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城乡社区住宅</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2210399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其他城乡社区住宅支出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国有资本经营预算支出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33.75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33.75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22301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解决历史遗留问题及改革成本支出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33.75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33.75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2230105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国有企业退休人员社会化管理补助支出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33.75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33.75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灾害防治及应急管理支出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22401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应急管理事务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2240109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应急管理</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其他支出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43.54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43.54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22960</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彩票公益金安排的支出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43.54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43.54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2296002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用于社会福利的彩票公益金支出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20.54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20.54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2296003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用于体育事业的彩票公益金支出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suppressAutoHyphens/>
        <w:bidi w:val="0"/>
        <w:spacing w:before="66" w:after="0"/>
        <w:ind w:left="0" w:leftChars="0" w:right="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color w:val="000000"/>
          <w:sz w:val="22"/>
          <w:szCs w:val="22"/>
        </w:rPr>
        <w:t>注：</w:t>
      </w:r>
      <w:r>
        <w:rPr>
          <w:rFonts w:hint="eastAsia" w:ascii="仿宋" w:hAnsi="仿宋" w:eastAsia="仿宋" w:cs="仿宋"/>
          <w:b w:val="0"/>
          <w:bCs w:val="0"/>
          <w:sz w:val="22"/>
          <w:szCs w:val="22"/>
        </w:rPr>
        <w:t>本表反映本年度取得的各项收入情况。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left="57" w:right="0" w:firstLine="220" w:firstLineChars="100"/>
        <w:jc w:val="both"/>
        <w:rPr>
          <w:rFonts w:hint="eastAsia" w:ascii="仿宋" w:hAnsi="仿宋" w:eastAsia="仿宋" w:cs="仿宋"/>
          <w:b w:val="0"/>
          <w:bCs w:val="0"/>
          <w:sz w:val="22"/>
          <w:szCs w:val="22"/>
        </w:rPr>
        <w:sectPr>
          <w:footerReference r:id="rId9"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4183"/>
        <w:gridCol w:w="2011"/>
        <w:gridCol w:w="1486"/>
        <w:gridCol w:w="1564"/>
        <w:gridCol w:w="1593"/>
        <w:gridCol w:w="1472"/>
        <w:gridCol w:w="1482"/>
      </w:tblGrid>
      <w:tr>
        <w:tblPrEx>
          <w:tblCellMar>
            <w:top w:w="55" w:type="dxa"/>
            <w:left w:w="55" w:type="dxa"/>
            <w:bottom w:w="55" w:type="dxa"/>
            <w:right w:w="55" w:type="dxa"/>
          </w:tblCellMar>
        </w:tblPrEx>
        <w:trPr>
          <w:trHeight w:val="341" w:hRule="atLeast"/>
        </w:trPr>
        <w:tc>
          <w:tcPr>
            <w:tcW w:w="15347" w:type="dxa"/>
            <w:gridSpan w:val="8"/>
            <w:vAlign w:val="center"/>
          </w:tcPr>
          <w:p>
            <w:pPr>
              <w:pStyle w:val="5"/>
              <w:widowControl w:val="0"/>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支出决算表</w:t>
            </w:r>
          </w:p>
        </w:tc>
      </w:tr>
      <w:tr>
        <w:tblPrEx>
          <w:tblCellMar>
            <w:top w:w="55" w:type="dxa"/>
            <w:left w:w="55" w:type="dxa"/>
            <w:bottom w:w="55" w:type="dxa"/>
            <w:right w:w="55" w:type="dxa"/>
          </w:tblCellMar>
        </w:tblPrEx>
        <w:trPr>
          <w:trHeight w:val="321" w:hRule="atLeast"/>
        </w:trPr>
        <w:tc>
          <w:tcPr>
            <w:tcW w:w="5739" w:type="dxa"/>
            <w:gridSpan w:val="2"/>
            <w:vAlign w:val="center"/>
          </w:tcPr>
          <w:p>
            <w:pPr>
              <w:pStyle w:val="22"/>
              <w:widowControl w:val="0"/>
              <w:jc w:val="center"/>
              <w:rPr>
                <w:rFonts w:hint="eastAsia" w:ascii="仿宋" w:hAnsi="仿宋" w:eastAsia="仿宋" w:cs="仿宋"/>
              </w:rPr>
            </w:pPr>
          </w:p>
        </w:tc>
        <w:tc>
          <w:tcPr>
            <w:tcW w:w="2011" w:type="dxa"/>
            <w:vAlign w:val="center"/>
          </w:tcPr>
          <w:p>
            <w:pPr>
              <w:pStyle w:val="22"/>
              <w:widowControl w:val="0"/>
              <w:spacing w:before="0" w:after="0"/>
              <w:ind w:firstLine="0"/>
              <w:jc w:val="center"/>
              <w:rPr>
                <w:rFonts w:hint="eastAsia" w:ascii="仿宋" w:hAnsi="仿宋" w:eastAsia="仿宋" w:cs="仿宋"/>
                <w:sz w:val="20"/>
              </w:rPr>
            </w:pPr>
          </w:p>
        </w:tc>
        <w:tc>
          <w:tcPr>
            <w:tcW w:w="1486" w:type="dxa"/>
            <w:vAlign w:val="center"/>
          </w:tcPr>
          <w:p>
            <w:pPr>
              <w:pStyle w:val="22"/>
              <w:widowControl w:val="0"/>
              <w:spacing w:before="0" w:after="0"/>
              <w:ind w:firstLine="0"/>
              <w:jc w:val="center"/>
              <w:rPr>
                <w:rFonts w:hint="eastAsia" w:ascii="仿宋" w:hAnsi="仿宋" w:eastAsia="仿宋" w:cs="仿宋"/>
                <w:sz w:val="20"/>
              </w:rPr>
            </w:pPr>
          </w:p>
        </w:tc>
        <w:tc>
          <w:tcPr>
            <w:tcW w:w="1564" w:type="dxa"/>
            <w:vAlign w:val="center"/>
          </w:tcPr>
          <w:p>
            <w:pPr>
              <w:pStyle w:val="22"/>
              <w:widowControl w:val="0"/>
              <w:spacing w:before="0" w:after="0"/>
              <w:ind w:firstLine="0"/>
              <w:jc w:val="center"/>
              <w:rPr>
                <w:rFonts w:hint="eastAsia" w:ascii="仿宋" w:hAnsi="仿宋" w:eastAsia="仿宋" w:cs="仿宋"/>
                <w:sz w:val="20"/>
              </w:rPr>
            </w:pPr>
          </w:p>
        </w:tc>
        <w:tc>
          <w:tcPr>
            <w:tcW w:w="1593" w:type="dxa"/>
            <w:vAlign w:val="center"/>
          </w:tcPr>
          <w:p>
            <w:pPr>
              <w:pStyle w:val="22"/>
              <w:widowControl w:val="0"/>
              <w:spacing w:before="0" w:after="0"/>
              <w:ind w:firstLine="0"/>
              <w:jc w:val="center"/>
              <w:rPr>
                <w:rFonts w:hint="eastAsia" w:ascii="仿宋" w:hAnsi="仿宋" w:eastAsia="仿宋" w:cs="仿宋"/>
                <w:sz w:val="20"/>
              </w:rPr>
            </w:pP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2393" w:type="dxa"/>
            <w:gridSpan w:val="6"/>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南京市雨花台区铁心桥街道办事处</w:t>
            </w: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321" w:hRule="atLeast"/>
        </w:trPr>
        <w:tc>
          <w:tcPr>
            <w:tcW w:w="5739"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kern w:val="0"/>
                <w:sz w:val="22"/>
                <w:szCs w:val="22"/>
              </w:rPr>
              <w:t>项目</w:t>
            </w:r>
          </w:p>
        </w:tc>
        <w:tc>
          <w:tcPr>
            <w:tcW w:w="2011"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本年支出合计</w:t>
            </w:r>
          </w:p>
        </w:tc>
        <w:tc>
          <w:tcPr>
            <w:tcW w:w="1486"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564"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593"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472"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经营支出</w:t>
            </w:r>
          </w:p>
        </w:tc>
        <w:tc>
          <w:tcPr>
            <w:tcW w:w="1482"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0" w:hRule="atLeast"/>
        </w:trPr>
        <w:tc>
          <w:tcPr>
            <w:tcW w:w="1556"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kern w:val="0"/>
                <w:sz w:val="22"/>
                <w:szCs w:val="22"/>
              </w:rPr>
            </w:pPr>
            <w:r>
              <w:rPr>
                <w:rFonts w:hint="eastAsia" w:ascii="仿宋" w:hAnsi="仿宋" w:eastAsia="仿宋" w:cs="仿宋"/>
                <w:kern w:val="0"/>
                <w:sz w:val="22"/>
                <w:szCs w:val="22"/>
              </w:rPr>
              <w:t>功能分类</w:t>
            </w:r>
          </w:p>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4183"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科目名称</w:t>
            </w:r>
          </w:p>
        </w:tc>
        <w:tc>
          <w:tcPr>
            <w:tcW w:w="2011"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6"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64"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93"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72"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2" w:type="dxa"/>
            <w:vMerge w:val="continue"/>
            <w:tcBorders>
              <w:left w:val="single" w:color="000000" w:sz="4" w:space="0"/>
              <w:bottom w:val="single" w:color="000000" w:sz="4" w:space="0"/>
              <w:right w:val="single" w:color="000000" w:sz="4" w:space="0"/>
            </w:tcBorders>
          </w:tcPr>
          <w:p>
            <w:pPr>
              <w:widowControl w:val="0"/>
              <w:spacing w:before="0" w:after="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403" w:hRule="exact"/>
        </w:trPr>
        <w:tc>
          <w:tcPr>
            <w:tcW w:w="573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2011"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35,512.63</w:t>
            </w:r>
          </w:p>
        </w:tc>
        <w:tc>
          <w:tcPr>
            <w:tcW w:w="148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9,692.51</w:t>
            </w:r>
          </w:p>
        </w:tc>
        <w:tc>
          <w:tcPr>
            <w:tcW w:w="156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25,820.12</w:t>
            </w:r>
          </w:p>
        </w:tc>
        <w:tc>
          <w:tcPr>
            <w:tcW w:w="1593"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47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482"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一般公共服务支出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6,852.57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4,972.74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1,879.83</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人大事务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51.35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50.35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行政运行</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50.35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50.35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政协事务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2010202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125.00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政府办公厅（室）及相关机构事务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4,384.63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4,248.99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135.64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2010301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行政运行</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4,242.65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4,242.65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2010302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118.94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118.94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2010308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信访事务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16.70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16.70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2010399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其他政府办公厅（室）及相关机构事务支出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6.34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6.34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统计信息事务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476.74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0.54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476.20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2010507</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专项普查活动</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476.20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476.20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2010508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统计抽样调查</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0.54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0.54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财政事务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78.38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74.65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3.73</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2010601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行政运行</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68.35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68.35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2010602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1.73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1.73</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2010699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其他财政事务支出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8.30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6.30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纪检监察事务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0.09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0.09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2011199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其他纪检监察事务支出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0.09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0.09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20123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民族事务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7.99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7.99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2012399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其他民族事务支出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7.99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7.99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20129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群众团体事务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38.96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38.96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2012999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其他群众团体事务支出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38.96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38.96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党委办公厅（室）及相关机构事务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79.93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79.93</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79.93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79.93</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宣传事务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725.19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725.19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2013399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其他宣传事务支出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725.19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725.19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统战事务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8.35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7.20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2013401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行政运行</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2013402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7.20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7.20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其他共产党事务支出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234.44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92.19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142.25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2013699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其他共产党事务支出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234.44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92.19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142.25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市场监督管理事务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16.43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16.43</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2013804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市场主体管理</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16.43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16.43</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其他一般公共服务支出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625.09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504.87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120.22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2019999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其他一般公共服务支出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625.09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504.87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120.22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公共安全支出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1,485.39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413.00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1,072.39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20402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公安</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1,137.28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159.74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977.54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2040299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其他公安支出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1,137.28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159.74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977.54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20406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司法</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265.36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247.11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18.25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2040604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基层司法业务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35.26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34.83</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0.43</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2040699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其他司法支出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230.10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212.28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17.82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20499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其他公共安全支出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82.75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6.15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76.60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2049999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其他公共安全支出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82.75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6.15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76.60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教育支出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344.49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13.85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330.64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普通教育</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234.39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234.39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2050201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学前教育</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234.39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234.39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成人教育</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13.85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13.85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2050499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其他成人教育支出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13.85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13.85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其他教育支出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96.25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96.25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2059999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其他教育支出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96.25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96.25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文化旅游体育与传媒支出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364.81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40.67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324.14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文化和旅游</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331.44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9.85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321.59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2070107</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艺术表演团体</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0.71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0.71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2070108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文化活动</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2070199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其他文化和旅游支出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329.73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9.14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320.59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体育</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2070399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其他体育支出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其他文化旅游体育与传媒支出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31.37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30.82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0.55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2079999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其他文化旅游体育与传媒支出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31.37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30.82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0.55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社会保障和就业支出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5,881.83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2,276.59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3,605.24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人力资源和社会保障管理事务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162.82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162.82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2080106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就业管理事务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162.82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162.82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民政管理事务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3,141.28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27.84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3,113.44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2080208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基层政权建设和社区治理</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3,141.28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27.84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3,113.44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行政事业单位养老支出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261.12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261.12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行政单位离退休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199.10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199.10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其他行政事业单位养老支出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62.02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62.02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20807</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就业补助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50.87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12.81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38.06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2080701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就业创业服务补贴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24.30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24.30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2080799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其他就业补助支出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26.57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12.81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13.76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抚恤</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303.60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303.60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2080899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其他优抚支出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303.60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303.60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退役安置</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130.49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130.49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2080901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退役士兵安置</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115.81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115.81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其他退役安置支出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14.68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14.68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20810</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社会福利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174.15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102.70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71.45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2081001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儿童福利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20.20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20.20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2081002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老年福利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91.64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75.57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16.07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2081004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殡葬</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40.42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40.42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2081006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养老服务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21.89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6.93</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14.96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残疾人事业</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274.48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274.48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2081107</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残疾人生活和护理补贴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145.44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145.44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2081199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其他残疾人事业支出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129.04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129.04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20816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红十字事业</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2081699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其他红十字事业支出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20819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最低生活保障</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716.51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716.51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2081901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城市最低生活保障金支出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716.51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716.51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20820</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临时救助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98.72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97.72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2082001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临时救助支出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96.22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96.22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2082002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流浪乞讨人员救助支出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20821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特困人员救助供养</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94.52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94.52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2082101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城市特困人员救助供养支出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94.52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94.52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20825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其他生活救助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2082501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其他城市生活救助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20827</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财政对其他社会保险基金的补助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333.47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333.47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2082799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其他财政对社会保险基金的补助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333.47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333.47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20828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退役军人管理事务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95.43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80.33</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15.10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2082804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拥军优属</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95.43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80.33</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15.10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其他社会保障和就业支出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14.33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6.61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7.72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其他社会保障和就业支出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14.33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6.61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7.72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卫生健康支出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2,822.34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213.45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2,608.89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基层医疗卫生机构</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59.72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59.72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2100399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其他基层医疗卫生机构支出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59.72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59.72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公共卫生</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2,434.77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0.60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2,434.17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2100408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基本公共卫生服务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305.29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305.29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2100409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重大公共卫生服务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0.60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0.60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2100410</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突发公共卫生事件应急处理</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2,110.00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2,110.00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2100499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其他公共卫生支出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18.88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18.88</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21007</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计划生育事务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142.72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142.72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2100717</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计划生育服务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95.45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95.45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2100799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其他计划生育事务支出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47.27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47.27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46.94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46.94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32.16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32.16</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公务员医疗补助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14.78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14.78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医疗救助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22.52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22.52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2101399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其他医疗救助支出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22.52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22.52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优抚对象医疗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0.27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0.27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2101401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优抚对象医疗补助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0.27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0.27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其他卫生健康支出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115.40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0.40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115.00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其他卫生健康支出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115.40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0.40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115.00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节能环保支出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污染防治</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2110302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水体</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2110399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其他污染防治支出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城乡社区支出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13,500.21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1,129.51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12,370.70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城乡社区管理事务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2,230.93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728.97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1,501.96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行政运行</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48.81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48.81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2120104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城管执法</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813.96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664.43</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149.53</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2120199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其他城乡社区管理事务支出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1,368.16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15.73</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1,352.43</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城乡社区规划与管理</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1,650.96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87.51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1,563.45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2120201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城乡社区规划与管理</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1,650.96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87.51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1,563.45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城乡社区公共设施</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84.15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84.15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2120303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小城镇基础设施建设</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44.41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44.41</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2120399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其他城乡社区公共设施支出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39.74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39.74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城乡社区环境卫生</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120.60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120.60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2120501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城乡社区环境卫生</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120.60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120.60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国有土地使用权出让收入安排的支出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3,365.39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3,365.39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2120803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城市建设支出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3,300.69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3,300.69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2120804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农村基础设施建设支出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64.70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64.70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其他城乡社区支出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6,048.18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313.03</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5,735.15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2129999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其他城乡社区支出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6,048.18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313.03</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5,735.15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农林水支出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2,040.48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65.24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1,975.24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21301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农业农村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45.00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29.69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15.31</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2130104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事业运行</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28.96</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22.97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5.99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2130152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对高校毕业生到基层任职补助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6.72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6.72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2130199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其他农业农村支出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9.32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9.32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21302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林业和草原</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938.11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938.11</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2130205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森林资源培育</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724.54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724.54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2130234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林业草原防灾减灾</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85.28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85.28</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2130299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其他林业和草原支出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128.29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128.29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21303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水利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589.68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584.81</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2130306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水利工程运行与维护</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582.95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578.08</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2130314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防汛</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6.73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6.73</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21307</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农村综合改革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403.69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30.68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373.01</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2130706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对村集体经济组织的补助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403.69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30.68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373.01</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21399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其他农林水支出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64.00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64.00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2139999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其他农林水支出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64.00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64.00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交通运输支出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21401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公路水路运输</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2140106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公路养护</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资源勘探工业信息等支出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1,644.19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221.14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1,423.05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工业和信息产业监管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218.00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218.00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2150599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其他工业和信息产业监管支出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218.00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218.00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21508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支持中小企业发展和管理支出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221.14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221.14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2150899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其他支持中小企业发展和管理支出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221.14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221.14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其他资源勘探工业信息等支出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1,205.05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1,205.05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2159999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其他资源勘探工业信息等支出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1,205.05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1,205.05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商业服务业等支出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64.91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6.22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58.69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21699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其他商业服务业等支出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64.91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6.22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58.69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2169999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其他商业服务业等支出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64.91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6.22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58.69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220</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自然资源海洋气象等支出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22001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自然资源事务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2200106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自然资源利用与保护</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住房保障支出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340.90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340.10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0.80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住房改革支出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338.80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338.80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住房公积金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338.80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338.80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城乡社区住宅</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0.80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2210399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其他城乡社区住宅支出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0.80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国有资本经营预算支出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33.75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33.75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22301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解决历史遗留问题及改革成本支出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33.75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33.75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2230105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国有企业退休人员社会化管理补助支出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33.75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33.75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灾害防治及应急管理支出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22401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应急管理事务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2240109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应急管理</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8.22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其他支出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43.54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43.54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22960</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彩票公益金安排的支出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43.54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43.54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2296002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用于社会福利的彩票公益金支出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20.54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20.54</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2296003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用于体育事业的彩票公益金支出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bl>
    <w:p>
      <w:pPr>
        <w:widowControl w:val="0"/>
        <w:suppressAutoHyphens/>
        <w:bidi w:val="0"/>
        <w:spacing w:before="59" w:after="0"/>
        <w:ind w:left="0" w:leftChars="0" w:right="0" w:firstLine="0" w:firstLineChars="0"/>
        <w:jc w:val="left"/>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注：本表反映本年度各项支出情况。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59" w:after="0"/>
        <w:ind w:left="57" w:right="0" w:firstLine="0"/>
        <w:jc w:val="left"/>
        <w:rPr>
          <w:rFonts w:hint="eastAsia" w:ascii="仿宋" w:hAnsi="仿宋" w:eastAsia="仿宋" w:cs="仿宋"/>
          <w:b w:val="0"/>
          <w:bCs w:val="0"/>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tblPrEx>
          <w:tblCellMar>
            <w:top w:w="55" w:type="dxa"/>
            <w:left w:w="55" w:type="dxa"/>
            <w:bottom w:w="55" w:type="dxa"/>
            <w:right w:w="55" w:type="dxa"/>
          </w:tblCellMar>
        </w:tblPrEx>
        <w:trPr>
          <w:trHeight w:val="319" w:hRule="atLeast"/>
        </w:trPr>
        <w:tc>
          <w:tcPr>
            <w:tcW w:w="15372" w:type="dxa"/>
            <w:gridSpan w:val="10"/>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财政拨款收入支出决算总表</w:t>
            </w:r>
          </w:p>
        </w:tc>
      </w:tr>
      <w:tr>
        <w:tblPrEx>
          <w:tblCellMar>
            <w:top w:w="55" w:type="dxa"/>
            <w:left w:w="55" w:type="dxa"/>
            <w:bottom w:w="55" w:type="dxa"/>
            <w:right w:w="55" w:type="dxa"/>
          </w:tblCellMar>
        </w:tblPrEx>
        <w:trPr>
          <w:trHeight w:val="319" w:hRule="atLeast"/>
        </w:trPr>
        <w:tc>
          <w:tcPr>
            <w:tcW w:w="5562" w:type="dxa"/>
            <w:gridSpan w:val="2"/>
          </w:tcPr>
          <w:p>
            <w:pPr>
              <w:pStyle w:val="22"/>
              <w:widowControl w:val="0"/>
              <w:rPr>
                <w:rFonts w:hint="eastAsia" w:ascii="仿宋" w:hAnsi="仿宋" w:eastAsia="仿宋" w:cs="仿宋"/>
                <w:sz w:val="20"/>
              </w:rPr>
            </w:pPr>
          </w:p>
        </w:tc>
        <w:tc>
          <w:tcPr>
            <w:tcW w:w="847" w:type="dxa"/>
          </w:tcPr>
          <w:p>
            <w:pPr>
              <w:pStyle w:val="22"/>
              <w:widowControl w:val="0"/>
              <w:rPr>
                <w:rFonts w:hint="eastAsia" w:ascii="仿宋" w:hAnsi="仿宋" w:eastAsia="仿宋" w:cs="仿宋"/>
                <w:sz w:val="20"/>
              </w:rPr>
            </w:pPr>
          </w:p>
        </w:tc>
        <w:tc>
          <w:tcPr>
            <w:tcW w:w="1913" w:type="dxa"/>
          </w:tcPr>
          <w:p>
            <w:pPr>
              <w:pStyle w:val="22"/>
              <w:widowControl w:val="0"/>
              <w:rPr>
                <w:rFonts w:hint="eastAsia" w:ascii="仿宋" w:hAnsi="仿宋" w:eastAsia="仿宋" w:cs="仿宋"/>
                <w:sz w:val="20"/>
              </w:rPr>
            </w:pPr>
          </w:p>
        </w:tc>
        <w:tc>
          <w:tcPr>
            <w:tcW w:w="2635" w:type="dxa"/>
            <w:gridSpan w:val="2"/>
          </w:tcPr>
          <w:p>
            <w:pPr>
              <w:pStyle w:val="22"/>
              <w:widowControl w:val="0"/>
              <w:rPr>
                <w:rFonts w:hint="eastAsia" w:ascii="仿宋" w:hAnsi="仿宋" w:eastAsia="仿宋" w:cs="仿宋"/>
                <w:sz w:val="20"/>
              </w:rPr>
            </w:pPr>
          </w:p>
        </w:tc>
        <w:tc>
          <w:tcPr>
            <w:tcW w:w="1194" w:type="dxa"/>
          </w:tcPr>
          <w:p>
            <w:pPr>
              <w:pStyle w:val="22"/>
              <w:widowControl w:val="0"/>
              <w:rPr>
                <w:rFonts w:hint="eastAsia" w:ascii="仿宋" w:hAnsi="仿宋" w:eastAsia="仿宋" w:cs="仿宋"/>
                <w:sz w:val="20"/>
              </w:rPr>
            </w:pP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2151" w:type="dxa"/>
            <w:gridSpan w:val="7"/>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sz w:val="22"/>
                <w:szCs w:val="22"/>
              </w:rPr>
              <w:t>南京市雨花台区铁心桥街道办事处</w:t>
            </w: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收</w:t>
            </w:r>
            <w:r>
              <w:rPr>
                <w:rFonts w:hint="eastAsia" w:ascii="仿宋" w:hAnsi="仿宋" w:eastAsia="仿宋" w:cs="仿宋"/>
                <w:sz w:val="22"/>
                <w:szCs w:val="22"/>
              </w:rPr>
              <w:tab/>
            </w:r>
            <w:r>
              <w:rPr>
                <w:rFonts w:hint="eastAsia" w:ascii="仿宋" w:hAnsi="仿宋" w:eastAsia="仿宋" w:cs="仿宋"/>
                <w:sz w:val="22"/>
                <w:szCs w:val="22"/>
              </w:rPr>
              <w:t>入</w:t>
            </w:r>
          </w:p>
        </w:tc>
        <w:tc>
          <w:tcPr>
            <w:tcW w:w="9810" w:type="dxa"/>
            <w:gridSpan w:val="8"/>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支</w:t>
            </w:r>
            <w:r>
              <w:rPr>
                <w:rFonts w:hint="eastAsia" w:ascii="仿宋" w:hAnsi="仿宋" w:eastAsia="仿宋" w:cs="仿宋"/>
                <w:sz w:val="22"/>
                <w:szCs w:val="22"/>
              </w:rPr>
              <w:tab/>
            </w:r>
            <w:r>
              <w:rPr>
                <w:rFonts w:hint="eastAsia" w:ascii="仿宋" w:hAnsi="仿宋" w:eastAsia="仿宋" w:cs="仿宋"/>
                <w:sz w:val="22"/>
                <w:szCs w:val="22"/>
              </w:rPr>
              <w:t>出</w:t>
            </w:r>
          </w:p>
        </w:tc>
      </w:tr>
      <w:tr>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1837"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c>
          <w:tcPr>
            <w:tcW w:w="3667" w:type="dxa"/>
            <w:gridSpan w:val="3"/>
            <w:vMerge w:val="restart"/>
            <w:tcBorders>
              <w:left w:val="single" w:color="000000" w:sz="4" w:space="0"/>
              <w:bottom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按功能分类</w:t>
            </w:r>
          </w:p>
        </w:tc>
        <w:tc>
          <w:tcPr>
            <w:tcW w:w="6143" w:type="dxa"/>
            <w:gridSpan w:val="5"/>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r>
      <w:tr>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837"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3667" w:type="dxa"/>
            <w:gridSpan w:val="3"/>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小计</w:t>
            </w:r>
          </w:p>
        </w:tc>
        <w:tc>
          <w:tcPr>
            <w:tcW w:w="14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一般公共预算财政拨款</w:t>
            </w:r>
          </w:p>
        </w:tc>
        <w:tc>
          <w:tcPr>
            <w:tcW w:w="15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政府性基金预算财政拨款</w:t>
            </w:r>
          </w:p>
        </w:tc>
        <w:tc>
          <w:tcPr>
            <w:tcW w:w="1500"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国有资本经营预算财政拨款</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27,300.17</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4,185.06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4,185.06</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3,408.93</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33.75</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1,069.23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1,069.23</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330.64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330.64</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325.47</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325.47</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5,752.31</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5,752.31</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2,821.74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2,821.74</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12,454.70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9,089.31</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3,365.39</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1,937.05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1,937.05</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1,423.05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1,423.05</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58.69</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58.69</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214.40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214.40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33.75</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8.22</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43.54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43.54</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b/>
                <w:bCs/>
                <w:sz w:val="22"/>
                <w:szCs w:val="22"/>
              </w:rPr>
              <w:t>本年收入合计</w:t>
            </w:r>
          </w:p>
        </w:tc>
        <w:tc>
          <w:tcPr>
            <w:tcW w:w="1837"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30,742.85</w:t>
            </w:r>
          </w:p>
        </w:tc>
        <w:tc>
          <w:tcPr>
            <w:tcW w:w="3667" w:type="dxa"/>
            <w:gridSpan w:val="3"/>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本年支出合计</w:t>
            </w:r>
          </w:p>
        </w:tc>
        <w:tc>
          <w:tcPr>
            <w:tcW w:w="1728"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30,742.85</w:t>
            </w:r>
          </w:p>
        </w:tc>
        <w:tc>
          <w:tcPr>
            <w:tcW w:w="1415" w:type="dxa"/>
            <w:gridSpan w:val="2"/>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27,300.17</w:t>
            </w:r>
          </w:p>
        </w:tc>
        <w:tc>
          <w:tcPr>
            <w:tcW w:w="1500"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3,408.93</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33.75</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年初财政拨款结转和结余</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年末财政拨款结转和结余</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83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30,742.85</w:t>
            </w:r>
          </w:p>
        </w:tc>
        <w:tc>
          <w:tcPr>
            <w:tcW w:w="366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30,742.85</w:t>
            </w:r>
          </w:p>
        </w:tc>
        <w:tc>
          <w:tcPr>
            <w:tcW w:w="1415" w:type="dxa"/>
            <w:gridSpan w:val="2"/>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27,300.17</w:t>
            </w:r>
          </w:p>
        </w:tc>
        <w:tc>
          <w:tcPr>
            <w:tcW w:w="150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3,408.93</w:t>
            </w:r>
          </w:p>
        </w:tc>
        <w:tc>
          <w:tcPr>
            <w:tcW w:w="1500"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33.75</w:t>
            </w:r>
          </w:p>
        </w:tc>
      </w:tr>
    </w:tbl>
    <w:p>
      <w:pPr>
        <w:ind w:left="0" w:leftChars="0" w:firstLine="0" w:firstLineChars="0"/>
        <w:jc w:val="both"/>
        <w:rPr>
          <w:rFonts w:hint="eastAsia" w:ascii="仿宋" w:hAnsi="仿宋" w:eastAsia="仿宋" w:cs="仿宋"/>
          <w:b w:val="0"/>
          <w:bCs w:val="0"/>
        </w:rPr>
      </w:pPr>
      <w:r>
        <w:rPr>
          <w:rFonts w:hint="eastAsia" w:ascii="仿宋" w:hAnsi="仿宋" w:eastAsia="仿宋" w:cs="仿宋"/>
          <w:b w:val="0"/>
          <w:bCs w:val="0"/>
          <w:lang w:val="en-US" w:eastAsia="zh-CN"/>
        </w:rPr>
        <w:t>注：</w:t>
      </w:r>
      <w:r>
        <w:rPr>
          <w:rFonts w:hint="eastAsia" w:ascii="仿宋" w:hAnsi="仿宋" w:eastAsia="仿宋" w:cs="仿宋"/>
          <w:b w:val="0"/>
          <w:bCs w:val="0"/>
        </w:rPr>
        <w:t>本表反映本年度一般公共预算财政拨款、政府性基金预算财政拨款和国有资本经营预算财政拨款的总收支和年末结转结余情况。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jc w:val="both"/>
        <w:rPr>
          <w:rFonts w:hint="eastAsia" w:ascii="仿宋" w:hAnsi="仿宋" w:eastAsia="仿宋" w:cs="仿宋"/>
          <w:b w:val="0"/>
          <w:bCs w:val="0"/>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tblPrEx>
          <w:tblCellMar>
            <w:top w:w="55" w:type="dxa"/>
            <w:left w:w="55" w:type="dxa"/>
            <w:bottom w:w="55" w:type="dxa"/>
            <w:right w:w="55" w:type="dxa"/>
          </w:tblCellMar>
        </w:tblPrEx>
        <w:trPr>
          <w:trHeight w:val="321" w:hRule="atLeast"/>
        </w:trPr>
        <w:tc>
          <w:tcPr>
            <w:tcW w:w="15417"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财政拨款支出决算表（功能科目）</w:t>
            </w:r>
          </w:p>
        </w:tc>
      </w:tr>
      <w:tr>
        <w:tblPrEx>
          <w:tblCellMar>
            <w:top w:w="55" w:type="dxa"/>
            <w:left w:w="55" w:type="dxa"/>
            <w:bottom w:w="55" w:type="dxa"/>
            <w:right w:w="55" w:type="dxa"/>
          </w:tblCellMar>
        </w:tblPrEx>
        <w:trPr>
          <w:trHeight w:val="321" w:hRule="atLeast"/>
        </w:trPr>
        <w:tc>
          <w:tcPr>
            <w:tcW w:w="6300" w:type="dxa"/>
            <w:gridSpan w:val="2"/>
          </w:tcPr>
          <w:p>
            <w:pPr>
              <w:pStyle w:val="22"/>
              <w:widowControl w:val="0"/>
              <w:rPr>
                <w:rFonts w:hint="eastAsia" w:ascii="仿宋" w:hAnsi="仿宋" w:eastAsia="仿宋" w:cs="仿宋"/>
                <w:sz w:val="20"/>
              </w:rPr>
            </w:pPr>
          </w:p>
        </w:tc>
        <w:tc>
          <w:tcPr>
            <w:tcW w:w="3184" w:type="dxa"/>
          </w:tcPr>
          <w:p>
            <w:pPr>
              <w:pStyle w:val="22"/>
              <w:widowControl w:val="0"/>
              <w:rPr>
                <w:rFonts w:hint="eastAsia" w:ascii="仿宋" w:hAnsi="仿宋" w:eastAsia="仿宋" w:cs="仿宋"/>
                <w:sz w:val="27"/>
              </w:rPr>
            </w:pPr>
          </w:p>
        </w:tc>
        <w:tc>
          <w:tcPr>
            <w:tcW w:w="5933" w:type="dxa"/>
            <w:gridSpan w:val="2"/>
            <w:vAlign w:val="center"/>
          </w:tcPr>
          <w:p>
            <w:pPr>
              <w:pStyle w:val="22"/>
              <w:widowControl w:val="0"/>
              <w:jc w:val="right"/>
              <w:rPr>
                <w:rFonts w:hint="eastAsia" w:ascii="仿宋" w:hAnsi="仿宋" w:eastAsia="仿宋" w:cs="仿宋"/>
                <w:sz w:val="27"/>
              </w:rPr>
            </w:pPr>
            <w:r>
              <w:rPr>
                <w:rFonts w:hint="eastAsia" w:ascii="仿宋" w:hAnsi="仿宋" w:eastAsia="仿宋" w:cs="仿宋"/>
              </w:rPr>
              <w:t>公开05表</w:t>
            </w:r>
          </w:p>
        </w:tc>
      </w:tr>
      <w:tr>
        <w:tblPrEx>
          <w:tblCellMar>
            <w:top w:w="55" w:type="dxa"/>
            <w:left w:w="55" w:type="dxa"/>
            <w:bottom w:w="55" w:type="dxa"/>
            <w:right w:w="55" w:type="dxa"/>
          </w:tblCellMar>
        </w:tblPrEx>
        <w:trPr>
          <w:trHeight w:val="288" w:hRule="atLeast"/>
        </w:trPr>
        <w:tc>
          <w:tcPr>
            <w:tcW w:w="6300" w:type="dxa"/>
            <w:gridSpan w:val="2"/>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南京市雨花台区铁心桥街道办事处</w:t>
            </w:r>
          </w:p>
        </w:tc>
        <w:tc>
          <w:tcPr>
            <w:tcW w:w="3184" w:type="dxa"/>
          </w:tcPr>
          <w:p>
            <w:pPr>
              <w:pStyle w:val="22"/>
              <w:widowControl w:val="0"/>
              <w:rPr>
                <w:rFonts w:hint="eastAsia" w:ascii="仿宋" w:hAnsi="仿宋" w:eastAsia="仿宋" w:cs="仿宋"/>
                <w:sz w:val="27"/>
              </w:rPr>
            </w:pPr>
          </w:p>
        </w:tc>
        <w:tc>
          <w:tcPr>
            <w:tcW w:w="2778" w:type="dxa"/>
            <w:vAlign w:val="center"/>
          </w:tcPr>
          <w:p>
            <w:pPr>
              <w:pStyle w:val="22"/>
              <w:widowControl w:val="0"/>
              <w:jc w:val="right"/>
              <w:rPr>
                <w:rFonts w:hint="eastAsia" w:ascii="仿宋" w:hAnsi="仿宋" w:eastAsia="仿宋" w:cs="仿宋"/>
                <w:sz w:val="27"/>
              </w:rPr>
            </w:pPr>
          </w:p>
        </w:tc>
        <w:tc>
          <w:tcPr>
            <w:tcW w:w="3155"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184"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本年支出合计</w:t>
            </w:r>
          </w:p>
        </w:tc>
        <w:tc>
          <w:tcPr>
            <w:tcW w:w="2778"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功能分类</w:t>
            </w:r>
          </w:p>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502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184"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2778"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3155"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栏次</w:t>
            </w:r>
          </w:p>
        </w:tc>
        <w:tc>
          <w:tcPr>
            <w:tcW w:w="318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1</w:t>
            </w:r>
          </w:p>
        </w:tc>
        <w:tc>
          <w:tcPr>
            <w:tcW w:w="27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2</w:t>
            </w:r>
          </w:p>
        </w:tc>
        <w:tc>
          <w:tcPr>
            <w:tcW w:w="3155"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3</w:t>
            </w:r>
          </w:p>
        </w:tc>
      </w:tr>
      <w:tr>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184"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30,742.85</w:t>
            </w:r>
          </w:p>
        </w:tc>
        <w:tc>
          <w:tcPr>
            <w:tcW w:w="2778"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rPr>
              <w:t>5,107.62</w:t>
            </w:r>
          </w:p>
        </w:tc>
        <w:tc>
          <w:tcPr>
            <w:tcW w:w="3155"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25,635.23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4,185.06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2,332.76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1,852.30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人大事务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49.67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49.67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49.67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49.67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政协事务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125.00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政府办公厅（室）及相关机构事务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1,925.90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1,810.20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115.70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2010301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1,803.86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1,803.86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2010302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2010308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信访事务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2010399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其他政府办公厅（室）及相关机构事务支出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统计信息事务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476.74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476.20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2010507</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专项普查活动</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476.20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476.20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2010508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统计抽样调查</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财政事务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54.58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52.58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2010601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46.28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46.28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2010699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其他财政事务支出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纪检监察事务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0.09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0.09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2011199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其他纪检监察事务支出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0.09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0.09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20123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民族事务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2012399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其他民族事务支出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20129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群众团体事务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38.96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38.96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2012999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其他群众团体事务支出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38.96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38.96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党委办公厅（室）及相关机构事务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79.93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79.93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79.93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79.93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宣传事务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725.19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725.19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2013399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其他宣传事务支出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725.19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725.19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统战事务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2013402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其他共产党事务支出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227.08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85.25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141.83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2013699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其他共产党事务支出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227.08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85.25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141.83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市场监督管理事务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2013804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市场主体管理</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其他一般公共服务支出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450.30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334.52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115.78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其他一般公共服务支出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450.30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334.52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115.78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公共安全支出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1,069.23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1,063.23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20402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公安</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980.66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974.66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2040299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其他公安支出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980.66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974.66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20406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司法</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2040699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其他司法支出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20499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其他公共安全支出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76.33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76.33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2049999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其他公共安全支出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76.33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76.33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330.64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330.64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普通教育</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学前教育</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234.39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96.25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96.25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96.25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96.25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325.47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324.14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文化和旅游</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321.59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321.59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文化活动</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其他文化和旅游支出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320.59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320.59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体育</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2070399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其他体育支出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5,752.31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2,147.07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3,605.24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人力资源和社会保障管理事务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137.45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137.45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2080106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就业管理事务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137.45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137.45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民政管理事务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3,141.30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3,113.45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2080208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基层政权建设和社区治理</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3,141.30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3,113.45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156.95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156.95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156.95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156.95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20807</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就业补助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50.87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38.06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2080701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就业创业服务补贴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24.30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24.30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2080799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其他就业补助支出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抚恤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303.60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303.60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2080899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其他优抚支出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303.60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303.60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退役安置</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130.49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130.49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2080901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退役士兵安置</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115.81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115.81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其他退役安置支出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14.68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14.68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社会福利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174.15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102.70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71.45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2081001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儿童福利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20.20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20.20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2081002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老年福利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91.64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75.56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2081004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殡葬</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40.42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40.42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2081006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养老服务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21.89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14.95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残疾人事业</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274.48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274.48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2081107</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残疾人生活和护理补贴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145.44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145.44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2081199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其他残疾人事业支出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129.04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129.04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20816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红十字事业</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2081699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其他红十字事业支出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20819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最低生活保障</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716.51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716.51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2081901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城市最低生活保障金支出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716.51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716.51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20820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临时救助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98.72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97.72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2082001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临时救助支出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96.22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96.22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2082002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流浪乞讨人员救助支出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20821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特困人员救助供养</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94.52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94.52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2082101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城市特困人员救助供养支出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94.52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94.52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20825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其他生活救助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2082501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其他城市生活救助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20827</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财政对其他社会保险基金的补助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333.47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333.47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2082799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其他财政对社会保险基金的补助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333.47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333.47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20828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退役军人管理事务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95.43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80.33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2082804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拥军优属</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95.43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80.33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14.33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14.33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2,821.74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212.85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2,608.89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基层医疗卫生机构</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59.72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59.72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2100399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其他基层医疗卫生机构支出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59.72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59.72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公共卫生</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2,434.17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2,434.17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2100408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基本公共卫生服务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305.29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305.29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2100410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突发公共卫生事件应急处理</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2100499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其他公共卫生支出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21007</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计划生育事务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142.72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142.72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2100717</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计划生育服务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95.45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95.45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2100799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其他计划生育事务支出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47.27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47.27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46.94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46.94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32.16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32.16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医疗救助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2101399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其他医疗救助支出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22.52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优抚对象医疗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2101401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优抚对象医疗补助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0.27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115.40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0.40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115.40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0.40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节能环保支出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污染防治</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2110302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水体</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2110399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其他污染防治支出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12,454.70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140.12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12,314.58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城乡社区管理事务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1,542.42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48.81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1,493.61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48.81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48.81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2120104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城管执法</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142.33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142.33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其他城乡社区管理事务支出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1,351.28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1,351.28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城乡社区规划与管理</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1,624.05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60.60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1,563.45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城乡社区规划与管理</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1,624.05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60.60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1,563.45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城乡社区公共设施</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83.59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83.59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2120303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小城镇基础设施建设</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44.41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44.41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2120399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其他城乡社区公共设施支出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39.18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39.18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城乡社区环境卫生</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120.60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120.60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2120501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城乡社区环境卫生</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120.60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120.60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国有土地使用权出让收入安排的支出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3,365.39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3,365.39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2120803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城市建设支出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3,300.69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3,300.69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2120804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农村基础设施建设支出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64.70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64.70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5,718.65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30.71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5,687.94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5,718.65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30.71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5,687.94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农林水支出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1,937.05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53.60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1,883.45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农业农村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36.83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22.92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13.91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2130104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事业运行</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20.79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16.20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2130152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对高校毕业生到基层任职补助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其他农业农村支出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9.32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9.32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林业和草原</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938.11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938.11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2130205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森林资源培育</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724.54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724.54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2130234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林业草原防灾减灾</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85.28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85.28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2130299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其他林业和草原支出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128.29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128.29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水利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494.42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494.42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水利工程运行与维护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487.69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487.69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2130314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防汛</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21307</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农村综合改革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403.69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30.68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373.01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2130706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对村集体经济组织的补助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403.69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30.68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373.01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其他农林水支出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其他农林水支出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交通运输支出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21401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公路水路运输</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2140106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公路养护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资源勘探工业信息等支出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1,423.05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1,423.05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工业和信息产业监管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218.00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218.00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2150599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其他工业和信息产业监管支出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218.00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218.00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其他资源勘探工业信息等支出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1,205.05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1,205.05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2159999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其他资源勘探工业信息等支出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1,205.05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1,205.05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商业服务业等支出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21699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其他商业服务业等支出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2169999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其他商业服务业等支出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自然资源海洋气象等支出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22001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自然资源事务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2200106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自然资源利用与保护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214.40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213.90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213.90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213.90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213.90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213.90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城乡社区住宅</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2210399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其他城乡社区住宅支出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国有资本经营预算支出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22301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解决历史遗留问题及改革成本支出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2230105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国有企业退休人员社会化管理补助支出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33.75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灾害防治及应急管理支出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22401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应急管理事务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2240109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应急管理</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43.54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43.54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22960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彩票公益金安排的支出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43.54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43.54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2296002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用于社会福利的彩票公益金支出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2296003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用于体育事业的彩票公益金支出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23.00</w:t>
            </w:r>
          </w:p>
        </w:tc>
      </w:tr>
    </w:tbl>
    <w:p>
      <w:pPr>
        <w:widowControl w:val="0"/>
        <w:tabs>
          <w:tab w:val="left" w:pos="0"/>
        </w:tabs>
        <w:suppressAutoHyphens/>
        <w:bidi w:val="0"/>
        <w:spacing w:before="0" w:after="0"/>
        <w:ind w:left="0" w:leftChars="0" w:right="0" w:firstLine="0" w:firstLineChars="0"/>
        <w:jc w:val="both"/>
        <w:rPr>
          <w:rFonts w:hint="eastAsia" w:ascii="仿宋" w:hAnsi="仿宋" w:eastAsia="仿宋" w:cs="仿宋"/>
          <w:b w:val="0"/>
          <w:bCs w:val="0"/>
        </w:rPr>
      </w:pPr>
      <w:r>
        <w:rPr>
          <w:rFonts w:hint="eastAsia" w:ascii="仿宋" w:hAnsi="仿宋" w:eastAsia="仿宋" w:cs="仿宋"/>
          <w:b w:val="0"/>
          <w:bCs w:val="0"/>
        </w:rPr>
        <w:t>注：本表反映本年度一般公共预算财政拨款、政府性基金预算财政拨款和国有资本经营预算财政拨款支出情况。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val="0"/>
          <w:bCs w:val="0"/>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tblPrEx>
          <w:tblCellMar>
            <w:top w:w="55" w:type="dxa"/>
            <w:left w:w="55" w:type="dxa"/>
            <w:bottom w:w="55" w:type="dxa"/>
            <w:right w:w="55" w:type="dxa"/>
          </w:tblCellMar>
        </w:tblPrEx>
        <w:trPr>
          <w:trHeight w:val="319" w:hRule="atLeast"/>
        </w:trPr>
        <w:tc>
          <w:tcPr>
            <w:tcW w:w="10515"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财政拨款基本支出决算表（经济科目）</w:t>
            </w:r>
          </w:p>
        </w:tc>
      </w:tr>
      <w:tr>
        <w:tblPrEx>
          <w:tblCellMar>
            <w:top w:w="55" w:type="dxa"/>
            <w:left w:w="55" w:type="dxa"/>
            <w:bottom w:w="55" w:type="dxa"/>
            <w:right w:w="55" w:type="dxa"/>
          </w:tblCellMar>
        </w:tblPrEx>
        <w:trPr>
          <w:trHeight w:val="319" w:hRule="atLeast"/>
        </w:trPr>
        <w:tc>
          <w:tcPr>
            <w:tcW w:w="4532" w:type="dxa"/>
            <w:gridSpan w:val="2"/>
          </w:tcPr>
          <w:p>
            <w:pPr>
              <w:pStyle w:val="22"/>
              <w:widowControl w:val="0"/>
              <w:rPr>
                <w:rFonts w:hint="eastAsia" w:ascii="仿宋" w:hAnsi="仿宋" w:eastAsia="仿宋" w:cs="仿宋"/>
                <w:sz w:val="20"/>
              </w:rPr>
            </w:pPr>
          </w:p>
        </w:tc>
        <w:tc>
          <w:tcPr>
            <w:tcW w:w="2047" w:type="dxa"/>
          </w:tcPr>
          <w:p>
            <w:pPr>
              <w:pStyle w:val="22"/>
              <w:widowControl w:val="0"/>
              <w:rPr>
                <w:rFonts w:hint="eastAsia" w:ascii="仿宋" w:hAnsi="仿宋" w:eastAsia="仿宋" w:cs="仿宋"/>
                <w:sz w:val="20"/>
              </w:rPr>
            </w:pPr>
          </w:p>
        </w:tc>
        <w:tc>
          <w:tcPr>
            <w:tcW w:w="2040" w:type="dxa"/>
          </w:tcPr>
          <w:p>
            <w:pPr>
              <w:pStyle w:val="22"/>
              <w:widowControl w:val="0"/>
              <w:rPr>
                <w:rFonts w:hint="eastAsia" w:ascii="仿宋" w:hAnsi="仿宋" w:eastAsia="仿宋" w:cs="仿宋"/>
                <w:sz w:val="20"/>
              </w:rPr>
            </w:pP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8619"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sz w:val="22"/>
                <w:szCs w:val="22"/>
              </w:rPr>
              <w:t>南京市雨花台区铁心桥街道办事处</w:t>
            </w: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财政拨款基本支出</w:t>
            </w:r>
          </w:p>
        </w:tc>
      </w:tr>
      <w:tr>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5,107.63</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4,950.70</w:t>
            </w:r>
          </w:p>
        </w:tc>
        <w:tc>
          <w:tcPr>
            <w:tcW w:w="1896"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156.93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2,619.74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2,619.74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283.40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283.40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961.58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961.58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728.86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728.86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131.60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131.60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65.80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77.03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213.90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157.25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157.25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156.93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156.93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49.05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49.05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47.11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47.11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32.17</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2,330.96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2,330.96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144.58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144.58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1,503.72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1,503.72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52.51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52.51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598.09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598.09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tabs>
          <w:tab w:val="left" w:pos="660"/>
          <w:tab w:val="left" w:pos="10780"/>
        </w:tabs>
        <w:suppressAutoHyphens/>
        <w:bidi w:val="0"/>
        <w:spacing w:before="25" w:after="0" w:line="290" w:lineRule="auto"/>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注：本表反映本年度一般公共预算财政拨款、政府性基金预算财政拨款和国有资本经营预算财政拨款基本支出情况。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0" w:after="0" w:line="255" w:lineRule="exact"/>
        <w:jc w:val="both"/>
        <w:rPr>
          <w:rFonts w:hint="eastAsia" w:ascii="仿宋" w:hAnsi="仿宋" w:eastAsia="仿宋" w:cs="仿宋"/>
          <w:b w:val="0"/>
          <w:bCs w:val="0"/>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tblPrEx>
          <w:tblCellMar>
            <w:top w:w="55" w:type="dxa"/>
            <w:left w:w="55" w:type="dxa"/>
            <w:bottom w:w="55" w:type="dxa"/>
            <w:right w:w="55" w:type="dxa"/>
          </w:tblCellMar>
        </w:tblPrEx>
        <w:trPr>
          <w:trHeight w:val="560" w:hRule="atLeast"/>
        </w:trPr>
        <w:tc>
          <w:tcPr>
            <w:tcW w:w="10446"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一般公共预算支出决算表（功能科目）</w:t>
            </w:r>
          </w:p>
        </w:tc>
      </w:tr>
      <w:tr>
        <w:tblPrEx>
          <w:tblCellMar>
            <w:top w:w="55" w:type="dxa"/>
            <w:left w:w="55" w:type="dxa"/>
            <w:bottom w:w="55" w:type="dxa"/>
            <w:right w:w="55" w:type="dxa"/>
          </w:tblCellMar>
        </w:tblPrEx>
        <w:trPr>
          <w:trHeight w:val="147" w:hRule="atLeast"/>
        </w:trPr>
        <w:tc>
          <w:tcPr>
            <w:tcW w:w="5466" w:type="dxa"/>
            <w:gridSpan w:val="2"/>
          </w:tcPr>
          <w:p>
            <w:pPr>
              <w:pStyle w:val="22"/>
              <w:widowControl w:val="0"/>
              <w:rPr>
                <w:rFonts w:hint="eastAsia" w:ascii="仿宋" w:hAnsi="仿宋" w:eastAsia="仿宋" w:cs="仿宋"/>
                <w:sz w:val="20"/>
              </w:rPr>
            </w:pPr>
          </w:p>
        </w:tc>
        <w:tc>
          <w:tcPr>
            <w:tcW w:w="1969" w:type="dxa"/>
          </w:tcPr>
          <w:p>
            <w:pPr>
              <w:pStyle w:val="22"/>
              <w:widowControl w:val="0"/>
              <w:rPr>
                <w:rFonts w:hint="eastAsia" w:ascii="仿宋" w:hAnsi="仿宋" w:eastAsia="仿宋" w:cs="仿宋"/>
                <w:sz w:val="20"/>
              </w:rPr>
            </w:pPr>
          </w:p>
        </w:tc>
        <w:tc>
          <w:tcPr>
            <w:tcW w:w="1499" w:type="dxa"/>
          </w:tcPr>
          <w:p>
            <w:pPr>
              <w:pStyle w:val="22"/>
              <w:widowControl w:val="0"/>
              <w:rPr>
                <w:rFonts w:hint="eastAsia" w:ascii="仿宋" w:hAnsi="仿宋" w:eastAsia="仿宋" w:cs="仿宋"/>
                <w:sz w:val="20"/>
              </w:rPr>
            </w:pPr>
          </w:p>
        </w:tc>
        <w:tc>
          <w:tcPr>
            <w:tcW w:w="1512"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公开07表</w:t>
            </w:r>
          </w:p>
        </w:tc>
      </w:tr>
      <w:tr>
        <w:tblPrEx>
          <w:tblCellMar>
            <w:top w:w="55" w:type="dxa"/>
            <w:left w:w="55" w:type="dxa"/>
            <w:bottom w:w="55" w:type="dxa"/>
            <w:right w:w="55" w:type="dxa"/>
          </w:tblCellMar>
        </w:tblPrEx>
        <w:trPr>
          <w:trHeight w:val="303" w:hRule="atLeast"/>
        </w:trPr>
        <w:tc>
          <w:tcPr>
            <w:tcW w:w="7435" w:type="dxa"/>
            <w:gridSpan w:val="3"/>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南京市雨花台区铁心桥街道办事处</w:t>
            </w:r>
          </w:p>
        </w:tc>
        <w:tc>
          <w:tcPr>
            <w:tcW w:w="3011" w:type="dxa"/>
            <w:gridSpan w:val="2"/>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w:t>
            </w:r>
          </w:p>
        </w:tc>
      </w:tr>
      <w:tr>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27,300.17</w:t>
            </w:r>
          </w:p>
        </w:tc>
        <w:tc>
          <w:tcPr>
            <w:tcW w:w="149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5,107.63</w:t>
            </w:r>
          </w:p>
        </w:tc>
        <w:tc>
          <w:tcPr>
            <w:tcW w:w="1512" w:type="dxa"/>
            <w:tcBorders>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22,192.54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一般公共服务支出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4,185.06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2,332.76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1,852.30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人大事务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49.67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49.67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2010101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49.67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49.67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政协事务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2010202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政府办公厅（室）及相关机构事务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1,925.90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1,810.20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115.70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2010301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1,803.86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1,803.86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2010302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2010308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信访事务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2010399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其他政府办公厅（室）及相关机构事务支出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统计信息事务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476.74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476.20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2010507</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专项普查活动</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476.20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476.20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2010508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统计抽样调查</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财政事务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54.58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52.58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2010601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46.28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46.28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2010699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其他财政事务支出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纪检监察事务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2011199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其他纪检监察事务支出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20123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民族事务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2012399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其他民族事务支出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20129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群众团体事务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38.96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38.96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2012999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其他群众团体事务支出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38.96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38.96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20131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党委办公厅（室）及相关机构事务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79.93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79.93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2013102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79.93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79.93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20133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宣传事务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725.19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725.19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2013399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其他宣传事务支出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725.19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725.19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20134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统战事务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2013402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20136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其他共产党事务支出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227.08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85.25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141.83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2013699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其他共产党事务支出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227.08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85.25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141.83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20138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市场监督管理事务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2013804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市场主体管理</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其他一般公共服务支出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450.30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334.52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115.78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2019999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其他一般公共服务支出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450.30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334.52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115.78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公共安全支出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1,069.23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1,063.23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20402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公安</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980.66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974.66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2040299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其他公安支出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980.66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974.66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20406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司法</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2040699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其他司法支出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12.24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20499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其他公共安全支出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76.33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76.33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2049999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其他公共安全支出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76.33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76.33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330.64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330.64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普通教育</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学前教育</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234.39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96.25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96.25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2059999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96.25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96.25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325.47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324.14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文化和旅游</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321.59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321.59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文化活动</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其他文化和旅游支出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320.59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320.59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体育</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2070399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其他体育支出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2079999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5,752.31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2,147.07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3,605.24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人力资源和社会保障管理事务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137.45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137.45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2080106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就业管理事务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137.45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137.45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民政管理事务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3,141.30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27.85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3,113.45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2080208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基层政权建设和社区治理</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3,141.30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27.85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3,113.45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156.95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156.95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156.95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156.95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20807</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就业补助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50.87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38.06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2080701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就业创业服务补贴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2080799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其他就业补助支出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26.57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303.60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303.60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2080899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其他优抚支出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303.60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303.60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退役安置</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130.49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130.49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2080901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退役士兵安置</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115.81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115.81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其他退役安置支出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社会福利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174.15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102.70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71.45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2081001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儿童福利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20.20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20.20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2081002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老年福利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91.64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75.56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2081004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殡葬</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40.42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40.42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2081006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养老服务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21.89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14.95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残疾人事业</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274.48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274.48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2081107</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残疾人生活和护理补贴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145.44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145.44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2081199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其他残疾人事业支出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129.04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129.04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20816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红十字事业</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2081699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其他红十字事业支出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20819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最低生活保障</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716.51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716.51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2081901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城市最低生活保障金支出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716.51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716.51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20820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临时救助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98.72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97.72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2082001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临时救助支出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96.22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96.22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2082002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流浪乞讨人员救助支出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20821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特困人员救助供养</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94.52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94.52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2082101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城市特困人员救助供养支出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94.52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94.52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20825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其他生活救助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2082501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其他城市生活救助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20827</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财政对其他社会保险基金的补助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333.47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333.47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2082799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其他财政对社会保险基金的补助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333.47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333.47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20828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退役军人管理事务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95.43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80.33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15.10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2082804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拥军优属</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95.43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80.33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15.10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2,821.74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212.85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2,608.89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基层医疗卫生机构</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59.72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59.72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2100399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其他基层医疗卫生机构支出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59.72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59.72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公共卫生</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2,434.17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2,434.17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2100408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基本公共卫生服务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305.29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305.29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2100410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突发公共卫生事件应急处理</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2100499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其他公共卫生支出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21007</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计划生育事务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142.72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142.72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2100717</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计划生育服务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95.45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95.45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2100799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其他计划生育事务支出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47.27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47.27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46.94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46.94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医疗救助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2101399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其他医疗救助支出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22.52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优抚对象医疗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2101401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优抚对象医疗补助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115.40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115.40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节能环保支出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污染防治</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2110302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水体</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2110399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其他污染防治支出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城乡社区支出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9,089.31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140.12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8,949.19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城乡社区管理事务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1,542.42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48.81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1,493.61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48.81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48.81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2120104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城管执法</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142.33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142.33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其他城乡社区管理事务支出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1,351.28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1,351.28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城乡社区规划与管理</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1,624.05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60.60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1,563.45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城乡社区规划与管理</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1,624.05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60.60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1,563.45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城乡社区公共设施</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83.59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83.59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2120303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小城镇基础设施建设</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44.41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44.41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2120399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其他城乡社区公共设施支出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39.18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39.18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城乡社区环境卫生</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120.60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120.60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2120501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城乡社区环境卫生</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120.60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120.60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其他城乡社区支出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5,718.65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30.71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5,687.94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其他城乡社区支出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5,718.65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30.71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5,687.94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农林水支出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1,937.05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53.60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1,883.45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21301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农业农村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36.83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2130104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事业运行</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20.79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2130152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对高校毕业生到基层任职补助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2130199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其他农业农村支出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21302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林业和草原</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938.11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938.11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2130205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森林资源培育</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724.54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724.54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2130234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林业草原防灾减灾</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85.28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85.28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2130299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其他林业和草原支出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128.29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128.29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21303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494.42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494.42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2130306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水利工程运行与维护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487.69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487.69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2130314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防汛</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21307</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农村综合改革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403.69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30.68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373.01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2130706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对村集体经济组织的补助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403.69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30.68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373.01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21399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其他农林水支出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2139999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其他农林水支出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交通运输支出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21401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公路水路运输</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2140106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公路养护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资源勘探工业信息等支出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1,423.05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1,423.05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21505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工业和信息产业监管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218.00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218.00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2150599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其他工业和信息产业监管支出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218.00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218.00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21599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其他资源勘探工业信息等支出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1,205.05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1,205.05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2159999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其他资源勘探工业信息等支出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1,205.05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1,205.05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商业服务业等支出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21699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其他商业服务业等支出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2169999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其他商业服务业等支出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自然资源海洋气象等支出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22001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自然资源事务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2200106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自然资源利用与保护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214.40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213.90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213.90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213.90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213.90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213.90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城乡社区住宅</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2210399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其他城乡社区住宅支出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灾害防治及应急管理支出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22401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应急管理事务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2240109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应急管理</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8.22</w:t>
            </w:r>
          </w:p>
        </w:tc>
      </w:tr>
    </w:tbl>
    <w:p>
      <w:pPr>
        <w:tabs>
          <w:tab w:val="left" w:pos="0"/>
        </w:tabs>
        <w:spacing w:before="25" w:after="0"/>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tblPrEx>
          <w:tblCellMar>
            <w:top w:w="55" w:type="dxa"/>
            <w:left w:w="55" w:type="dxa"/>
            <w:bottom w:w="55" w:type="dxa"/>
            <w:right w:w="55" w:type="dxa"/>
          </w:tblCellMar>
        </w:tblPrEx>
        <w:trPr>
          <w:trHeight w:val="319" w:hRule="atLeast"/>
        </w:trPr>
        <w:tc>
          <w:tcPr>
            <w:tcW w:w="10473" w:type="dxa"/>
            <w:gridSpan w:val="5"/>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一般公共预算基本支出决算表（经济科目）</w:t>
            </w:r>
          </w:p>
        </w:tc>
      </w:tr>
      <w:tr>
        <w:tblPrEx>
          <w:tblCellMar>
            <w:top w:w="55" w:type="dxa"/>
            <w:left w:w="55" w:type="dxa"/>
            <w:bottom w:w="55" w:type="dxa"/>
            <w:right w:w="55" w:type="dxa"/>
          </w:tblCellMar>
        </w:tblPrEx>
        <w:trPr>
          <w:trHeight w:val="199" w:hRule="atLeast"/>
        </w:trPr>
        <w:tc>
          <w:tcPr>
            <w:tcW w:w="8595" w:type="dxa"/>
            <w:gridSpan w:val="4"/>
            <w:vAlign w:val="center"/>
          </w:tcPr>
          <w:p>
            <w:pPr>
              <w:pStyle w:val="22"/>
              <w:widowControl w:val="0"/>
              <w:jc w:val="right"/>
              <w:rPr>
                <w:rFonts w:hint="eastAsia" w:ascii="仿宋" w:hAnsi="仿宋" w:eastAsia="仿宋" w:cs="仿宋"/>
                <w:color w:val="000000"/>
                <w:sz w:val="22"/>
                <w:szCs w:val="22"/>
                <w:lang w:eastAsia="zh-CN"/>
              </w:rPr>
            </w:pPr>
          </w:p>
        </w:tc>
        <w:tc>
          <w:tcPr>
            <w:tcW w:w="1878" w:type="dxa"/>
            <w:vAlign w:val="center"/>
          </w:tcPr>
          <w:p>
            <w:pPr>
              <w:pStyle w:val="22"/>
              <w:widowControl w:val="0"/>
              <w:jc w:val="right"/>
              <w:rPr>
                <w:rFonts w:hint="eastAsia" w:ascii="仿宋" w:hAnsi="仿宋" w:eastAsia="仿宋" w:cs="仿宋"/>
              </w:rPr>
            </w:pPr>
            <w:r>
              <w:rPr>
                <w:rFonts w:hint="eastAsia" w:ascii="仿宋" w:hAnsi="仿宋" w:eastAsia="仿宋" w:cs="仿宋"/>
              </w:rPr>
              <w:t>公开08表</w:t>
            </w:r>
          </w:p>
        </w:tc>
      </w:tr>
      <w:tr>
        <w:tblPrEx>
          <w:tblCellMar>
            <w:top w:w="55" w:type="dxa"/>
            <w:left w:w="55" w:type="dxa"/>
            <w:bottom w:w="55" w:type="dxa"/>
            <w:right w:w="55" w:type="dxa"/>
          </w:tblCellMar>
        </w:tblPrEx>
        <w:trPr>
          <w:trHeight w:val="320" w:hRule="atLeast"/>
        </w:trPr>
        <w:tc>
          <w:tcPr>
            <w:tcW w:w="8595"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南京市雨花台区铁心桥街道办事处</w:t>
            </w:r>
          </w:p>
        </w:tc>
        <w:tc>
          <w:tcPr>
            <w:tcW w:w="1878"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一般公共预算财政拨款基本支出</w:t>
            </w:r>
          </w:p>
        </w:tc>
      </w:tr>
      <w:tr>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5,107.63</w:t>
            </w:r>
          </w:p>
        </w:tc>
        <w:tc>
          <w:tcPr>
            <w:tcW w:w="170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4,950.70</w:t>
            </w:r>
          </w:p>
        </w:tc>
        <w:tc>
          <w:tcPr>
            <w:tcW w:w="187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156.93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2,619.74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2,619.74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283.40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283.40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961.58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961.58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728.86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728.86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131.60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131.60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65.80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65.80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77.03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77.03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213.90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213.90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157.25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157.25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156.93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156.93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49.05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49.05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47.11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47.11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32.17</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18.63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2,330.96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2,330.96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144.58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144.58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1,503.72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1,503.72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52.51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52.51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598.09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598.09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right="-92" w:rightChars="-42"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tblPrEx>
          <w:tblCellMar>
            <w:top w:w="55" w:type="dxa"/>
            <w:left w:w="55" w:type="dxa"/>
            <w:bottom w:w="55" w:type="dxa"/>
            <w:right w:w="55" w:type="dxa"/>
          </w:tblCellMar>
        </w:tblPrEx>
        <w:trPr>
          <w:trHeight w:val="321" w:hRule="atLeast"/>
        </w:trPr>
        <w:tc>
          <w:tcPr>
            <w:tcW w:w="16486" w:type="dxa"/>
            <w:gridSpan w:val="16"/>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一般公共预算“三公”经费、会议费、培训费支出决算表</w:t>
            </w:r>
          </w:p>
        </w:tc>
      </w:tr>
      <w:tr>
        <w:tblPrEx>
          <w:tblCellMar>
            <w:top w:w="55" w:type="dxa"/>
            <w:left w:w="55" w:type="dxa"/>
            <w:bottom w:w="55" w:type="dxa"/>
            <w:right w:w="55" w:type="dxa"/>
          </w:tblCellMar>
        </w:tblPrEx>
        <w:trPr>
          <w:trHeight w:val="207" w:hRule="atLeast"/>
        </w:trPr>
        <w:tc>
          <w:tcPr>
            <w:tcW w:w="16486" w:type="dxa"/>
            <w:gridSpan w:val="16"/>
          </w:tcPr>
          <w:p>
            <w:pPr>
              <w:pStyle w:val="22"/>
              <w:widowControl w:val="0"/>
              <w:jc w:val="right"/>
              <w:rPr>
                <w:rFonts w:hint="eastAsia" w:ascii="仿宋" w:hAnsi="仿宋" w:eastAsia="仿宋" w:cs="仿宋"/>
                <w:sz w:val="20"/>
              </w:rPr>
            </w:pPr>
            <w:r>
              <w:rPr>
                <w:rFonts w:hint="eastAsia" w:ascii="仿宋" w:hAnsi="仿宋" w:eastAsia="仿宋" w:cs="仿宋"/>
              </w:rPr>
              <w:t>公开09表</w:t>
            </w:r>
          </w:p>
        </w:tc>
      </w:tr>
      <w:tr>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南京市雨花台区铁心桥街道办事处</w:t>
            </w:r>
          </w:p>
        </w:tc>
        <w:tc>
          <w:tcPr>
            <w:tcW w:w="8274" w:type="dxa"/>
            <w:gridSpan w:val="8"/>
            <w:tcBorders>
              <w:bottom w:val="single" w:color="auto" w:sz="4" w:space="0"/>
            </w:tcBorders>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rPr>
            </w:pPr>
            <w:r>
              <w:rPr>
                <w:rFonts w:hint="eastAsia" w:ascii="仿宋" w:hAnsi="仿宋" w:eastAsia="仿宋" w:cs="仿宋"/>
                <w:lang w:val="en-US" w:eastAsia="zh-CN"/>
              </w:rPr>
              <w:t>预算数</w:t>
            </w:r>
          </w:p>
        </w:tc>
        <w:tc>
          <w:tcPr>
            <w:tcW w:w="8274"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决算数</w:t>
            </w:r>
          </w:p>
        </w:tc>
      </w:tr>
      <w:tr>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r>
      <w:tr>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pPr>
              <w:widowControl w:val="0"/>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r>
      <w:tr>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02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
            </w:r>
            <w:r>
              <w:rPr>
                <w:rFonts w:ascii="仿宋" w:hAnsi="仿宋" w:cs="仿宋" w:eastAsia="仿宋"/>
              </w:rPr>
              <w:t>小计</w:t>
            </w:r>
          </w:p>
        </w:tc>
        <w:tc>
          <w:tcPr>
            <w:tcW w:w="1089"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0.62</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4.89</w:t>
            </w:r>
          </w:p>
        </w:tc>
        <w:tc>
          <w:tcPr>
            <w:tcW w:w="10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0.62</w:t>
            </w:r>
          </w:p>
        </w:tc>
        <w:tc>
          <w:tcPr>
            <w:tcW w:w="102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4.89</w:t>
            </w:r>
          </w:p>
        </w:tc>
      </w:tr>
    </w:tbl>
    <w:p>
      <w:pPr>
        <w:spacing w:before="30" w:after="33"/>
        <w:ind w:left="220" w:leftChars="100" w:firstLine="0" w:firstLineChars="0"/>
        <w:rPr>
          <w:rFonts w:hint="eastAsia" w:ascii="仿宋" w:hAnsi="仿宋" w:eastAsia="仿宋" w:cs="仿宋"/>
          <w:sz w:val="22"/>
          <w:szCs w:val="22"/>
        </w:rPr>
      </w:pPr>
      <w:r>
        <w:rPr>
          <w:rFonts w:hint="eastAsia" w:ascii="仿宋" w:hAnsi="仿宋" w:eastAsia="仿宋" w:cs="仿宋"/>
          <w:sz w:val="22"/>
          <w:szCs w:val="22"/>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trPr>
          <w:cantSplit/>
          <w:trHeight w:val="214"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
            </w:r>
            <w:r>
              <w:rPr>
                <w:rFonts w:ascii="仿宋" w:hAnsi="仿宋" w:cs="仿宋" w:eastAsia="仿宋"/>
                <w:sz w:val="22"/>
              </w:rPr>
              <w:t>项目</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项目</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45</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190</w:t>
            </w:r>
          </w:p>
        </w:tc>
      </w:tr>
    </w:tbl>
    <w:p>
      <w:pPr>
        <w:widowControl w:val="0"/>
        <w:suppressAutoHyphens/>
        <w:bidi w:val="0"/>
        <w:spacing w:before="0" w:after="0"/>
        <w:ind w:left="0" w:leftChars="0" w:right="-2"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本表反映本年度一般公共预算“三公”经费、会议费和培训费支出情况。其中，预算数为全年预算数，反映按规定程序调整后的预算数；决算数是包括当年一般公共预算财政拨款和以前年度结转资金安排的实际支出。</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widowControl w:val="0"/>
        <w:suppressAutoHyphens/>
        <w:bidi w:val="0"/>
        <w:spacing w:before="0" w:after="0"/>
        <w:ind w:left="227" w:right="0" w:firstLine="220" w:firstLineChars="100"/>
        <w:jc w:val="both"/>
        <w:rPr>
          <w:rFonts w:hint="eastAsia" w:ascii="仿宋" w:hAnsi="仿宋" w:eastAsia="仿宋" w:cs="仿宋"/>
          <w:b w:val="0"/>
          <w:bCs w:val="0"/>
          <w:sz w:val="22"/>
          <w:szCs w:val="22"/>
        </w:rPr>
        <w:sectPr>
          <w:footerReference r:id="rId16" w:type="default"/>
          <w:pgSz w:w="16838" w:h="11906" w:orient="landscape"/>
          <w:pgMar w:top="720" w:right="153" w:bottom="720" w:left="15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政府性基金预算支出决算表</w:t>
            </w:r>
          </w:p>
        </w:tc>
      </w:tr>
      <w:tr>
        <w:trPr>
          <w:trHeight w:val="323" w:hRule="atLeast"/>
        </w:trPr>
        <w:tc>
          <w:tcPr>
            <w:tcW w:w="8426" w:type="dxa"/>
            <w:gridSpan w:val="2"/>
          </w:tcPr>
          <w:p>
            <w:pPr>
              <w:pStyle w:val="22"/>
              <w:widowControl w:val="0"/>
              <w:rPr>
                <w:rFonts w:hint="eastAsia" w:ascii="仿宋" w:hAnsi="仿宋" w:eastAsia="仿宋" w:cs="仿宋"/>
                <w:sz w:val="20"/>
              </w:rPr>
            </w:pPr>
          </w:p>
        </w:tc>
        <w:tc>
          <w:tcPr>
            <w:tcW w:w="2684" w:type="dxa"/>
          </w:tcPr>
          <w:p>
            <w:pPr>
              <w:pStyle w:val="22"/>
              <w:widowControl w:val="0"/>
              <w:rPr>
                <w:rFonts w:hint="eastAsia" w:ascii="仿宋" w:hAnsi="仿宋" w:eastAsia="仿宋" w:cs="仿宋"/>
                <w:sz w:val="27"/>
              </w:rPr>
            </w:pPr>
          </w:p>
        </w:tc>
        <w:tc>
          <w:tcPr>
            <w:tcW w:w="2432" w:type="dxa"/>
          </w:tcPr>
          <w:p>
            <w:pPr>
              <w:pStyle w:val="22"/>
              <w:widowControl w:val="0"/>
              <w:rPr>
                <w:rFonts w:hint="eastAsia" w:ascii="仿宋" w:hAnsi="仿宋" w:eastAsia="仿宋" w:cs="仿宋"/>
                <w:sz w:val="20"/>
              </w:rPr>
            </w:pP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公开10表</w:t>
            </w:r>
          </w:p>
        </w:tc>
      </w:tr>
      <w:tr>
        <w:tblPrEx>
          <w:tblCellMar>
            <w:top w:w="55" w:type="dxa"/>
            <w:left w:w="55" w:type="dxa"/>
            <w:bottom w:w="55" w:type="dxa"/>
            <w:right w:w="55" w:type="dxa"/>
          </w:tblCellMar>
        </w:tblPrEx>
        <w:trPr>
          <w:trHeight w:val="152" w:hRule="atLeast"/>
        </w:trPr>
        <w:tc>
          <w:tcPr>
            <w:tcW w:w="13542"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南京市雨花台区铁心桥街道办事处</w:t>
            </w: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rPr>
          <w:trHeight w:val="267" w:hRule="atLeast"/>
        </w:trPr>
        <w:tc>
          <w:tcPr>
            <w:tcW w:w="8426"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43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3,408.93</w:t>
            </w:r>
          </w:p>
        </w:tc>
        <w:tc>
          <w:tcPr>
            <w:tcW w:w="243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3,408.93</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城乡社区支出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3,365.39</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3,365.39</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21208</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国有土地使用权出让收入安排的支出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3,365.39</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3,365.39</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2120803</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城市建设支出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3,300.69</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3,300.69</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2120804</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农村基础设施建设支出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64.70</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64.70</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43.54</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43.54</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22960</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彩票公益金安排的支出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43.54</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43.54</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2296002</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用于社会福利的彩票公益金支出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20.54</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20.54</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2296003</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用于体育事业的彩票公益金支出</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23.00</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23.00</w:t>
            </w:r>
          </w:p>
        </w:tc>
      </w:tr>
    </w:tbl>
    <w:p>
      <w:pPr>
        <w:spacing w:before="25" w:after="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注：本表反映本年度政府性基金预算财政拨款支出情况。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default" w:ascii="仿宋" w:hAnsi="仿宋" w:eastAsia="仿宋" w:cs="仿宋"/>
          <w:b w:val="0"/>
          <w:bCs w:val="0"/>
          <w:sz w:val="22"/>
          <w:szCs w:val="22"/>
          <w:lang w:val="en-US" w:eastAsia="zh-CN"/>
        </w:rPr>
        <w:sectPr>
          <w:footerReference r:id="rId17"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国有资本经营预算支出决算表</w:t>
            </w:r>
          </w:p>
        </w:tc>
      </w:tr>
      <w:tr>
        <w:tblPrEx>
          <w:tblCellMar>
            <w:top w:w="55" w:type="dxa"/>
            <w:left w:w="55" w:type="dxa"/>
            <w:bottom w:w="55" w:type="dxa"/>
            <w:right w:w="55" w:type="dxa"/>
          </w:tblCellMar>
        </w:tblPrEx>
        <w:trPr>
          <w:trHeight w:val="323" w:hRule="atLeast"/>
        </w:trPr>
        <w:tc>
          <w:tcPr>
            <w:tcW w:w="8520" w:type="dxa"/>
            <w:gridSpan w:val="2"/>
          </w:tcPr>
          <w:p>
            <w:pPr>
              <w:pStyle w:val="22"/>
              <w:widowControl w:val="0"/>
              <w:rPr>
                <w:rFonts w:hint="eastAsia" w:ascii="仿宋" w:hAnsi="仿宋" w:eastAsia="仿宋" w:cs="仿宋"/>
                <w:sz w:val="20"/>
              </w:rPr>
            </w:pPr>
          </w:p>
        </w:tc>
        <w:tc>
          <w:tcPr>
            <w:tcW w:w="2510" w:type="dxa"/>
          </w:tcPr>
          <w:p>
            <w:pPr>
              <w:pStyle w:val="22"/>
              <w:widowControl w:val="0"/>
              <w:rPr>
                <w:rFonts w:hint="eastAsia" w:ascii="仿宋" w:hAnsi="仿宋" w:eastAsia="仿宋" w:cs="仿宋"/>
                <w:sz w:val="27"/>
              </w:rPr>
            </w:pPr>
          </w:p>
        </w:tc>
        <w:tc>
          <w:tcPr>
            <w:tcW w:w="2309" w:type="dxa"/>
          </w:tcPr>
          <w:p>
            <w:pPr>
              <w:pStyle w:val="22"/>
              <w:widowControl w:val="0"/>
              <w:rPr>
                <w:rFonts w:hint="eastAsia" w:ascii="仿宋" w:hAnsi="仿宋" w:eastAsia="仿宋" w:cs="仿宋"/>
                <w:sz w:val="20"/>
              </w:rPr>
            </w:pP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eastAsia="zh-CN"/>
              </w:rPr>
              <w:t>1</w:t>
            </w:r>
            <w:r>
              <w:rPr>
                <w:rFonts w:hint="eastAsia" w:ascii="仿宋" w:hAnsi="仿宋" w:eastAsia="仿宋" w:cs="仿宋"/>
              </w:rPr>
              <w:t>表</w:t>
            </w:r>
          </w:p>
        </w:tc>
      </w:tr>
      <w:tr>
        <w:tblPrEx>
          <w:tblCellMar>
            <w:top w:w="55" w:type="dxa"/>
            <w:left w:w="55" w:type="dxa"/>
            <w:bottom w:w="55" w:type="dxa"/>
            <w:right w:w="55" w:type="dxa"/>
          </w:tblCellMar>
        </w:tblPrEx>
        <w:trPr>
          <w:trHeight w:val="152" w:hRule="atLeast"/>
        </w:trPr>
        <w:tc>
          <w:tcPr>
            <w:tcW w:w="13339"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南京市雨花台区铁心桥街道办事处</w:t>
            </w: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30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33.75</w:t>
            </w:r>
          </w:p>
        </w:tc>
        <w:tc>
          <w:tcPr>
            <w:tcW w:w="230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61"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33.75</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223</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国有资本经营预算支出</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33.75</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33.75</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22301</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解决历史遗留问题及改革成本支出</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33.75</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33.75</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2230105</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国有企业退休人员社会化管理补助支出</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33.75</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33.75</w:t>
            </w:r>
          </w:p>
        </w:tc>
      </w:tr>
    </w:tbl>
    <w:p>
      <w:pPr>
        <w:bidi w:val="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spacing w:before="25" w:after="0"/>
        <w:ind w:left="-220" w:leftChars="-100" w:firstLine="0" w:firstLineChars="0"/>
        <w:jc w:val="both"/>
        <w:rPr>
          <w:rFonts w:hint="default" w:ascii="仿宋" w:hAnsi="仿宋" w:eastAsia="仿宋" w:cs="仿宋"/>
          <w:b w:val="0"/>
          <w:bCs w:val="0"/>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tblPrEx>
          <w:tblCellMar>
            <w:top w:w="55" w:type="dxa"/>
            <w:left w:w="55" w:type="dxa"/>
            <w:bottom w:w="55" w:type="dxa"/>
            <w:right w:w="55" w:type="dxa"/>
          </w:tblCellMar>
        </w:tblPrEx>
        <w:trPr>
          <w:trHeight w:val="319" w:hRule="atLeast"/>
        </w:trPr>
        <w:tc>
          <w:tcPr>
            <w:tcW w:w="10466" w:type="dxa"/>
            <w:gridSpan w:val="3"/>
          </w:tcPr>
          <w:p>
            <w:pPr>
              <w:pStyle w:val="22"/>
              <w:widowControl w:val="0"/>
              <w:tabs>
                <w:tab w:val="left" w:pos="610"/>
              </w:tabs>
              <w:spacing w:before="28" w:after="0"/>
              <w:ind w:left="8" w:firstLine="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一般公共预算机关运行经费支出决算表</w:t>
            </w:r>
          </w:p>
        </w:tc>
      </w:tr>
      <w:tr>
        <w:tblPrEx>
          <w:tblCellMar>
            <w:top w:w="55" w:type="dxa"/>
            <w:left w:w="55" w:type="dxa"/>
            <w:bottom w:w="55" w:type="dxa"/>
            <w:right w:w="55" w:type="dxa"/>
          </w:tblCellMar>
        </w:tblPrEx>
        <w:trPr>
          <w:trHeight w:val="90" w:hRule="atLeast"/>
        </w:trPr>
        <w:tc>
          <w:tcPr>
            <w:tcW w:w="6632" w:type="dxa"/>
            <w:gridSpan w:val="2"/>
          </w:tcPr>
          <w:p>
            <w:pPr>
              <w:pStyle w:val="22"/>
              <w:widowControl w:val="0"/>
              <w:rPr>
                <w:rFonts w:hint="eastAsia" w:ascii="仿宋" w:hAnsi="仿宋" w:eastAsia="仿宋" w:cs="仿宋"/>
                <w:sz w:val="20"/>
              </w:rPr>
            </w:pPr>
          </w:p>
        </w:tc>
        <w:tc>
          <w:tcPr>
            <w:tcW w:w="3834"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6632" w:type="dxa"/>
            <w:gridSpan w:val="2"/>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南京市雨花台区铁心桥街道办事处</w:t>
            </w:r>
          </w:p>
        </w:tc>
        <w:tc>
          <w:tcPr>
            <w:tcW w:w="3834"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机关运行经费支出决算</w:t>
            </w:r>
          </w:p>
        </w:tc>
      </w:tr>
      <w:tr>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834"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834"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156.93</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156.93</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3.26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6.31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49.05</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0.40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47.11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32.17</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18.63</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bl>
    <w:p>
      <w:pPr>
        <w:spacing w:before="25" w:after="0"/>
        <w:ind w:left="0" w:leftChars="0" w:right="-92" w:rightChars="-42"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注：“机关运行经费” 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lang w:val="en-US" w:eastAsia="zh-CN"/>
        </w:rPr>
        <w:sectPr>
          <w:footerReference r:id="rId18" w:type="default"/>
          <w:type w:val="continuous"/>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tblPrEx>
          <w:tblCellMar>
            <w:top w:w="55" w:type="dxa"/>
            <w:left w:w="55" w:type="dxa"/>
            <w:bottom w:w="55" w:type="dxa"/>
            <w:right w:w="55" w:type="dxa"/>
          </w:tblCellMar>
        </w:tblPrEx>
        <w:trPr>
          <w:trHeight w:val="333" w:hRule="atLeast"/>
        </w:trPr>
        <w:tc>
          <w:tcPr>
            <w:tcW w:w="10459" w:type="dxa"/>
            <w:gridSpan w:val="4"/>
            <w:vAlign w:val="center"/>
          </w:tcPr>
          <w:p>
            <w:pPr>
              <w:pStyle w:val="22"/>
              <w:widowControl w:val="0"/>
              <w:bidi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政府采购支出决算表</w:t>
            </w:r>
          </w:p>
        </w:tc>
      </w:tr>
      <w:tr>
        <w:tblPrEx>
          <w:tblCellMar>
            <w:top w:w="55" w:type="dxa"/>
            <w:left w:w="55" w:type="dxa"/>
            <w:bottom w:w="55" w:type="dxa"/>
            <w:right w:w="55" w:type="dxa"/>
          </w:tblCellMar>
        </w:tblPrEx>
        <w:trPr>
          <w:trHeight w:val="333" w:hRule="atLeast"/>
        </w:trPr>
        <w:tc>
          <w:tcPr>
            <w:tcW w:w="4472" w:type="dxa"/>
          </w:tcPr>
          <w:p>
            <w:pPr>
              <w:pStyle w:val="22"/>
              <w:widowControl w:val="0"/>
              <w:bidi w:val="0"/>
              <w:rPr>
                <w:rFonts w:hint="eastAsia" w:ascii="仿宋" w:hAnsi="仿宋" w:eastAsia="仿宋" w:cs="仿宋"/>
              </w:rPr>
            </w:pPr>
          </w:p>
        </w:tc>
        <w:tc>
          <w:tcPr>
            <w:tcW w:w="722" w:type="dxa"/>
          </w:tcPr>
          <w:p>
            <w:pPr>
              <w:pStyle w:val="22"/>
              <w:widowControl w:val="0"/>
              <w:rPr>
                <w:rFonts w:hint="eastAsia" w:ascii="仿宋" w:hAnsi="仿宋" w:eastAsia="仿宋" w:cs="仿宋"/>
              </w:rPr>
            </w:pPr>
          </w:p>
        </w:tc>
        <w:tc>
          <w:tcPr>
            <w:tcW w:w="1992" w:type="dxa"/>
          </w:tcPr>
          <w:p>
            <w:pPr>
              <w:pStyle w:val="22"/>
              <w:widowControl w:val="0"/>
              <w:rPr>
                <w:rFonts w:hint="eastAsia" w:ascii="仿宋" w:hAnsi="仿宋" w:eastAsia="仿宋" w:cs="仿宋"/>
              </w:rPr>
            </w:pP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7186" w:type="dxa"/>
            <w:gridSpan w:val="3"/>
          </w:tcPr>
          <w:p>
            <w:pPr>
              <w:pStyle w:val="22"/>
              <w:widowControl w:val="0"/>
              <w:bidi w:val="0"/>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南京市雨花台区铁心桥街道办事处</w:t>
            </w: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pPr>
              <w:pStyle w:val="22"/>
              <w:widowControl w:val="0"/>
              <w:bidi w:val="0"/>
              <w:jc w:val="center"/>
              <w:rPr>
                <w:rFonts w:hint="eastAsia" w:ascii="仿宋" w:hAnsi="仿宋" w:eastAsia="仿宋" w:cs="仿宋"/>
                <w:lang w:val="en-US" w:eastAsia="zh-CN"/>
              </w:rPr>
            </w:pPr>
            <w:r>
              <w:rPr>
                <w:rFonts w:hint="eastAsia" w:ascii="仿宋" w:hAnsi="仿宋" w:eastAsia="仿宋" w:cs="仿宋"/>
                <w:lang w:val="en-US" w:eastAsia="zh-CN"/>
              </w:rPr>
              <w:t/>
            </w:r>
            <w:r>
              <w:rPr>
                <w:rFonts w:ascii="仿宋" w:hAnsi="仿宋" w:cs="仿宋" w:eastAsia="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3,033.82</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246.14</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128.63</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2,659.05</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bidi w:val="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政府采购支出信息为单位纳入部门预算范围的各项政府采购支出情况。</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eastAsia" w:ascii="仿宋" w:hAnsi="仿宋" w:eastAsia="仿宋" w:cs="仿宋"/>
          <w:b w:val="0"/>
          <w:bCs w:val="0"/>
          <w:sz w:val="22"/>
          <w:szCs w:val="22"/>
        </w:rPr>
        <w:sectPr>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outlineLvl w:val="0"/>
        <w:rPr>
          <w:rFonts w:hint="eastAsia" w:ascii="宋体" w:hAnsi="宋体" w:eastAsia="宋体" w:cs="宋体"/>
          <w:b/>
          <w:bCs/>
          <w:color w:val="000000"/>
          <w:kern w:val="0"/>
          <w:sz w:val="36"/>
          <w:szCs w:val="36"/>
          <w:lang w:val="zh-CN" w:eastAsia="ar-SA" w:bidi="zh-CN"/>
        </w:rPr>
      </w:pPr>
      <w:r>
        <w:rPr>
          <w:rFonts w:hint="eastAsia" w:ascii="宋体" w:hAnsi="宋体" w:eastAsia="宋体" w:cs="宋体"/>
          <w:b/>
          <w:bCs/>
          <w:color w:val="000000"/>
          <w:kern w:val="0"/>
          <w:sz w:val="36"/>
          <w:szCs w:val="36"/>
          <w:lang w:val="zh-CN" w:eastAsia="ar-SA" w:bidi="zh-CN"/>
        </w:rPr>
        <w:t>第三部分</w:t>
      </w:r>
      <w:r>
        <w:rPr>
          <w:rFonts w:hint="eastAsia" w:ascii="宋体" w:hAnsi="宋体" w:eastAsia="宋体" w:cs="宋体"/>
          <w:b/>
          <w:bCs/>
          <w:color w:val="000000"/>
          <w:kern w:val="0"/>
          <w:sz w:val="36"/>
          <w:szCs w:val="36"/>
          <w:lang w:val="en-US" w:eastAsia="zh-CN" w:bidi="zh-CN"/>
        </w:rPr>
        <w:t xml:space="preserve"> </w:t>
      </w:r>
      <w:r>
        <w:rPr>
          <w:rFonts w:hint="eastAsia" w:ascii="宋体" w:hAnsi="宋体" w:eastAsia="宋体" w:cs="宋体"/>
          <w:b/>
          <w:bCs/>
          <w:color w:val="000000"/>
          <w:kern w:val="0"/>
          <w:sz w:val="36"/>
          <w:szCs w:val="36"/>
          <w:lang w:val="zh-CN" w:eastAsia="zh-CN" w:bidi="zh-CN"/>
        </w:rPr>
        <w:t>2021</w:t>
      </w:r>
      <w:r>
        <w:rPr>
          <w:rFonts w:hint="eastAsia" w:ascii="宋体" w:hAnsi="宋体" w:eastAsia="宋体" w:cs="宋体"/>
          <w:b/>
          <w:bCs/>
          <w:color w:val="000000"/>
          <w:kern w:val="0"/>
          <w:sz w:val="36"/>
          <w:szCs w:val="36"/>
          <w:lang w:val="zh-CN" w:eastAsia="ar-SA" w:bidi="zh-CN"/>
        </w:rPr>
        <w:t>年度</w:t>
      </w:r>
      <w:r>
        <w:rPr>
          <w:rFonts w:ascii="宋体" w:hAnsi="宋体" w:cs="宋体" w:eastAsia="宋体"/>
          <w:b w:val="true"/>
          <w:color w:val="000000"/>
          <w:sz w:val="36"/>
        </w:rPr>
        <w:t>部门</w:t>
      </w:r>
      <w:r>
        <w:rPr>
          <w:rFonts w:ascii="宋体" w:hAnsi="宋体" w:cs="宋体" w:eastAsia="宋体"/>
          <w:b w:val="true"/>
          <w:color w:val="000000"/>
          <w:sz w:val="36"/>
        </w:rPr>
        <w:t>决算情况说明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2021年度收入、支出决算总计35,512.63万元。与上年相比，收、支总计各增加9,303.96万元，增长35.5%。其中：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（一）收入决算总计35,512.63万元。包括：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1.本年收入决算合计35,512.63万元。与上年相比，增加9,427.71万元，增长36.14%，变动原因：2021年上级追加专项资金增加。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2.使用非财政拨款结余0万元。与上年决算数相同。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3.年初结转和结余0万元。与上年相比，减少123.75万元，减少100%，变动原因：上年结转结余已使用。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（二）支出决算总计35,512.63万元。包括：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1.本年支出决算合计35,512.63万元。与上年相比，增加9,427.71万元，增长36.14%，变动原因：2021年上级追加专项资金增加。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2.结余分配0万元。与上年决算数相同。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3.年末结转和结余0万元。与上年相比，减少123.75万元，减少100%，变动原因：上年结转结余已使用。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年收入决算合计35,512.63万元，其中：财政拨款收入30,742.85万元，占86.57%；上级补助收入0万元，占0%；财政专户管理教育收费0万元，占0%；事业收入（不含专户管理教育收费）0万元，占0%；经营收入0万元，占0%；附属单位上缴收入0万元，占0%；其他收入4,769.78万元，占13.43%。</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2021年度本年支出决算合计35,512.63万元，其中：基本支出9,692.51万元，占27.29%；项目支出25,820.12万元，占72.71%；上缴上级支出0万元，占0%；经营支出0万元，占0%；对附属单位补助支出0万元，占0%。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2021年度财政拨款收入、支出决算总计30,742.85万元。与上年相比，收、支总计各增加7,896.01万元，增长34.56%，变动原因：2021年上级追加专项资金增加。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2021年度财政拨款支出决算30,742.85万元，占本年支出合计的86.57%。与2021年度财政拨款支出年初预算13,800万元相比，完成年初预算的222.77%。其中：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（一）一般公共服务支出（类）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1.人大事务（款）行政运行（项）。年初预算36.44万元，支出决算49.67万元，完成年初预算的136.31%。决算数与年初预算数的差异原因：相关人员经费增加。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2.政协事务（款）一般行政管理事务（项）。年初预算2万元，支出决算125万元，完成年初预算的6,250%。决算数与年初预算数的差异原因：上级专项有事好商量议事室建设经费增加。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3.政府办公厅（室）及相关机构事务（款）行政运行（项）。年初预算1,669.74万元，支出决算1,803.86万元，完成年初预算的108.03%。决算数与年初预算数的差异原因：相关人员经费增加。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4.政府办公厅（室）及相关机构事务（款）一般行政管理事务（项）。年初预算0万元，支出决算99万元，（年初预算数为0万元，无法计算完成比率）。决算数与年初预算数的差异原因：对口协作经费支出增加。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5.政府办公厅（室）及相关机构事务（款）信访事务（项）。年初预算41万元，支出决算16.7万元，完成年初预算的40.73%。决算数与年初预算数的差异原因：街道信访差旅费支出以及老上访人员经费支出减少。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政府办公厅（室）及相关机构事务（款）其他政府办公厅（室）及相关机构事务支出（项）。年初预算0万元，支出决算6.34万元，（年初预算数为0万元，无法计算完成比率）。决算数与年初预算数的差异原因：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7.统计信息事务（款）专项普查活动（项）。年初预算600万元，支出决算476.2万元，完成年初预算的79.37%。决算数与年初预算数的差异原因：人口普查经费减少。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8.统计信息事务（款）统计抽样调查（项）。年初预算0万元，支出决算0.54万元，（年初预算数为0万元，无法计算完成比率）。决算数与年初预算数的差异原因：统计调查经费增加。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9.财政事务（款）行政运行（项）。年初预算31.85万元，支出决算46.28万元，完成年初预算的145.31%。决算数与年初预算数的差异原因：相关人员经费增加。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10.财政事务（款）其他财政事务支出（项）。年初预算60万元，支出决算8.3万元，完成年初预算的13.83%。决算数与年初预算数的差异原因：相关财务审计项目以及财务软件维护经费减少。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11.纪检监察事务（款）其他纪检监察事务支出（项）。年初预算5万元，支出决算0.09万元，完成年初预算的1.8%。决算数与年初预算数的差异原因：纪检监察项目经费减少。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12.民族事务（款）其他民族事务支出（项）。年初预算2万元，支出决算7.99万元，完成年初预算的399.5%。决算数与年初预算数的差异原因：上级专项资金少数民族居民牛羊肉补贴经费支出增加。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13.群众团体事务（款）其他群众团体事务支出（项）。年初预算63.9万元，支出决算38.96万元，完成年初预算的60.97%。决算数与年初预算数的差异原因：团委、妇联活动经费减少。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14.党委办公厅（室）及相关机构事务（款）一般行政管理事务（项）。年初预算36万元，支出决算79.93万元，完成年初预算的222.03%。决算数与年初预算数的差异原因：上级专项资金专职网格员薪酬待遇补贴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15.宣传事务（款）其他宣传事务支出（项）。年初预算107万元，支出决算725.19万元，完成年初预算的677.75%。决算数与年初预算数的差异原因：上级专项资金文明城市创建奖补经费支出增加。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16.统战事务（款）一般行政管理事务（项）。年初预算22万元，支出决算7.2万元，完成年初预算的32.73%。决算数与年初预算数的差异原因：统战相关活动经费减少。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17.其他共产党事务支出（款）其他共产党事务支出（项）。年初预算185.18万元，支出决算227.08万元，完成年初预算的122.63%。决算数与年初预算数的差异原因：人员经费调整以及党建活动经费增加。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18.市场监督管理事务（款）市场主体管理（项）。年初预算25万元，支出决算16.43万元，完成年初预算的65.72%。决算数与年初预算数的差异原因：食品安全经费减少。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19.其他一般公共服务支出（款）其他一般公共服务支出（项）。年初预算331.56万元，支出决算450.3万元，完成年初预算的135.81%。决算数与年初预算数的差异原因：相关人员经费调整。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（二）公共安全支出（类）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1.公安（款）其他公安支出（项）。年初预算770万元，支出决算980.66万元，完成年初预算的127.36%。决算数与年初预算数的差异原因：保安特勤以及综治网格化经费增加。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2.司法（款）其他司法支出（项）。年初预算0万元，支出决算12.24万元，（年初预算数为0万元，无法计算完成比率）。决算数与年初预算数的差异原因：诉讼律师代理费增加。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3.其他公共安全支出（款）其他公共安全支出（项）。年初预算99.28万元，支出决算76.33万元，完成年初预算的76.88%。决算数与年初预算数的差异原因：安全生产经费减少。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（三）教育支出（类）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1.普通教育（款）学前教育（项）。年初预算2万元，支出决算234.39万元，完成年初预算的11,719.5%。决算数与年初预算数的差异原因：惠民园补贴经费增加。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2.其他教育支出（款）其他教育支出（项）。年初预算160万元，支出决算96.25万元，完成年初预算的60.16%。决算数与年初预算数的差异原因：因疫情原因，博爱助教活动经费减少。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（四）文化旅游体育与传媒支出（类）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1.文化和旅游（款）文化活动（项）。年初预算0万元，支出决算1万元，（年初预算数为0万元，无法计算完成比率）。决算数与年初预算数的差异原因：科目调整。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2.文化和旅游（款）其他文化和旅游支出（项）。年初预算120万元，支出决算320.59万元，完成年初预算的267.16%。决算数与年初预算数的差异原因：上级专项资金公共文化经费支出增加。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3.体育（款）其他体育支出（项）。年初预算2万元，支出决算2万元，完成年初预算的100%。决算数与年初预算数相同。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其他文化旅游体育与传媒支出（款）其他文化旅游体育与传媒支出（项）。年初预算0万元，支出决算1.88万元，（年初预算数为0万元，无法计算完成比率）。决算数与年初预算数的差异原因：相关人员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1.人力资源和社会保障管理事务（款）就业管理事务（项）。年初预算70.46万元，支出决算137.45万元，完成年初预算的195.08%。决算数与年初预算数的差异原因：相关人员经费调整。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民政管理事务（款）基层政权建设和社区治理（项）。年初预算2,565.05万元，支出决算3,141.3万元，完成年初预算的122.47%。决算数与年初预算数的差异原因：上级专项资金社区工作经费、社区为民服务专项资金以及精品社区等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3.行政事业单位养老支出（款）行政单位离退休（项）。年初预算175.3万元，支出决算156.95万元，完成年初预算的89.53%。决算数与年初预算数的差异原因：相关人员经费调整。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就业补助（款）就业创业服务补贴（项）。年初预算0万元，支出决算24.3万元，（年初预算数为0万元，无法计算完成比率）。决算数与年初预算数的差异原因：上级专项资金基层公共人力资源服务平台绩效奖补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5.就业补助（款）其他就业补助支出（项）。年初预算26万元，支出决算26.57万元，完成年初预算的102.19%。决算数与年初预算数的差异原因：大学生房租补贴配套经费支出增加。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6.抚恤（款）其他优抚支出（项）。年初预算184万元，支出决算303.6万元，完成年初预算的165%。决算数与年初预算数的差异原因：上级专项优抚经费增加。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7.退役安置（款）退役士兵安置（项）。年初预算0万元，支出决算115.81万元，（年初预算数为0万元，无法计算完成比率）。决算数与年初预算数的差异原因：上级专项经费增加。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8.退役安置（款）其他退役安置支出（项）。年初预算0万元，支出决算14.68万元，（年初预算数为0万元，无法计算完成比率）。决算数与年初预算数的差异原因：上级专项经费增加。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9.社会福利（款）儿童福利（项）。年初预算5万元，支出决算20.2万元，完成年初预算的404%。决算数与年初预算数的差异原因：上级专项经费困境儿童经费支出增加。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10.社会福利（款）老年福利（项）。年初预算40万元，支出决算91.64万元，完成年初预算的229.1%。决算数与年初预算数的差异原因：上级专项经费尊老金经费支出增加。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11.社会福利（款）殡葬（项）。年初预算45万元，支出决算40.42万元，完成年初预算的89.82%。决算数与年初预算数的差异原因：西天寺纪念堂日常维护经费减少。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12.社会福利（款）养老服务（项）。年初预算0万元，支出决算21.89万元，（年初预算数为0万元，无法计算完成比率）。决算数与年初预算数的差异原因：上级专项经费增加。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13.残疾人事业（款）残疾人生活和护理补贴（项）。年初预算65万元，支出决算145.44万元，完成年初预算的223.75%。决算数与年初预算数的差异原因：上级专项经费增加。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14.残疾人事业（款）其他残疾人事业支出（项）。年初预算10万元，支出决算129.04万元，完成年初预算的1,290.4%。决算数与年初预算数的差异原因：上级专项经费增加。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15.红十字事业（款）其他红十字事业支出（项）。年初预算5万元，支出决算25万元，完成年初预算的500%。决算数与年初预算数的差异原因：其他红十字事业支出经费增加。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16.最低生活保障（款）城市最低生活保障金支出（项）。年初预算188万元，支出决算716.51万元，完成年初预算的381.12%。决算数与年初预算数的差异原因：上级专项经费低保支出增加。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17.临时救助（款）临时救助支出（项）。年初预算19万元，支出决算96.22万元，完成年初预算的506.42%。决算数与年初预算数的差异原因：上级专项经费增加。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18.临时救助（款）流浪乞讨人员救助支出（项）。年初预算0万元，支出决算2.5万元，（年初预算数为0万元，无法计算完成比率）。决算数与年初预算数的差异原因：上级专项经费流浪乞讨人员救助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19.特困人员救助供养（款）城市特困人员救助供养支出（项）。年初预算50万元，支出决算94.52万元，完成年初预算的189.04%。决算数与年初预算数的差异原因：上级专项特困供养人员经费支出增加。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20.其他生活救助（款）其他城市生活救助（项）。年初预算3万元，支出决算5.04万元，完成年初预算的168%。决算数与年初预算数的差异原因：上级专项经费增加。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21.财政对其他社会保险基金的补助（款）其他财政对社会保险基金的补助（项）。年初预算122万元，支出决算333.47万元，完成年初预算的273.34%。决算数与年初预算数的差异原因：城镇居民医疗保险配套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22.退役军人管理事务（款）拥军优属（项）。年初预算200万元，支出决算95.43万元，完成年初预算的47.72%。决算数与年初预算数的差异原因：科目调整以及双拥慰问支出减少。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23.其他社会保障和就业支出（款）其他社会保障和就业支出（项）。年初预算71万元，支出决算14.33万元，完成年初预算的20.18%。决算数与年初预算数的差异原因：被征地农民老年生活困难补助等经费支出减少。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1.基层医疗卫生机构（款）其他基层医疗卫生机构支出（项）。年初预算18万元，支出决算59.72万元，完成年初预算的331.78%。决算数与年初预算数的差异原因：相关基层医疗卫生机构补助支出经费增加。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2.公共卫生（款）基本公共卫生服务（项）。年初预算350.41万元，支出决算305.29万元，完成年初预算的87.12%。决算数与年初预算数的差异原因：基本公共卫生街道配套经费增加。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3.公共卫生（款）突发公共卫生事件应急处理（项）。年初预算120万元，支出决算2,110万元，完成年初预算的1,758.33%。决算数与年初预算数的差异原因：上级专项疫情防控经费支出增加。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4.公共卫生（款）其他公共卫生支出（项）。年初预算35万元，支出决算18.88万元，完成年初预算的53.94%。决算数与年初预算数的差异原因：消杀服务经费减少。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5.计划生育事务（款）计划生育服务（项）。年初预算0万元，支出决算95.45万元，（年初预算数为0万元，无法计算完成比率）。决算数与年初预算数的差异原因：上级专项经费失独家庭补助金等经费增加。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6.计划生育事务（款）其他计划生育事务支出（项）。年初预算170.6万元，支出决算47.27万元，完成年初预算的27.71%。决算数与年初预算数的差异原因：农扶特扶困难家庭补助、独生子女保险等经费支出减少。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7.行政事业单位医疗（款）行政单位医疗（项）。年初预算50万元，支出决算32.16万元，完成年初预算的64.32%。决算数与年初预算数的差异原因：行政单位医疗经费减少。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8.行政事业单位医疗（款）公务员医疗补助（项）。年初预算15万元，支出决算14.78万元，完成年初预算的98.53%。决算数与年初预算数的差异原因：公务医疗经费减少。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9.医疗救助（款）其他医疗救助支出（项）。年初预算100万元，支出决算22.52万元，完成年初预算的22.52%。决算数与年初预算数的差异原因：困难群众医疗救助经费减少。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10.优抚对象医疗（款）优抚对象医疗补助（项）。年初预算0万元，支出决算0.27万元，（年初预算数为0万元，无法计算完成比率）。决算数与年初预算数的差异原因：上级专项经费特困医疗救助经费支出增加。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11.其他卫生健康支出（款）其他卫生健康支出（项）。年初预算15万元，支出决算115.4万元，完成年初预算的769.33%。决算数与年初预算数的差异原因：上级专项经费增加。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（七）节能环保支出（类）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1.污染防治（款）水体（项）。年初预算0万元，支出决算10万元，（年初预算数为0万元，无法计算完成比率）。决算数与年初预算数的差异原因：上级专项水环境区域受偿及连续达标经费支出增加。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2.污染防治（款）其他污染防治支出（项）。年初预算0万元，支出决算5万元，（年初预算数为0万元，无法计算完成比率）。决算数与年初预算数的差异原因：上级专项生态红线区域区级补偿经费支出增加。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（八）城乡社区支出（类）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1.城乡社区管理事务（款）行政运行（项）。年初预算0万元，支出决算48.81万元，（年初预算数为0万元，无法计算完成比率）。决算数与年初预算数的差异原因：科目调整以及相关人员经费调整。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2.城乡社区管理事务（款）城管执法（项）。年初预算0万元，支出决算142.33万元，（年初预算数为0万元，无法计算完成比率）。决算数与年初预算数的差异原因：上级专项资金增加。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城乡社区管理事务（款）其他城乡社区管理事务支出（项）。年初预算0万元，支出决算1,351.28万元，（年初预算数为0万元，无法计算完成比率）。决算数与年初预算数的差异原因：上级专项道路环卫保洁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4.城乡社区规划与管理（款）城乡社区规划与管理（项）。年初预算70万元，支出决算1,624.05万元，完成年初预算的2,320.07%。决算数与年初预算数的差异原因：上级专项老旧小区整治项目等经费支出增加。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5.城乡社区公共设施（款）小城镇基础设施建设（项）。年初预算0万元，支出决算44.41万元，（年初预算数为0万元，无法计算完成比率）。决算数与年初预算数的差异原因：上级专项垃圾分类经费增加。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城乡社区公共设施（款）其他城乡社区公共设施支出（项）。年初预算0万元，支出决算39.18万元，（年初预算数为0万元，无法计算完成比率）。决算数与年初预算数的差异原因：新能源充电桩配套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7.城乡社区环境卫生（款）城乡社区环境卫生（项）。年初预算106.2万元，支出决算120.6万元，完成年初预算的113.56%。决算数与年初预算数的差异原因：城乡社区环境卫生支出减少。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国有土地使用权出让收入安排的支出（款）城市建设支出（项）。年初预算0万元，支出决算3,300.69万元，（年初预算数为0万元，无法计算完成比率）。决算数与年初预算数的差异原因：上级专项资金老旧小区出新、雨污分流等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国有土地使用权出让收入安排的支出（款）农村基础设施建设支出（项）。年初预算0万元，支出决算64.7万元，（年初预算数为0万元，无法计算完成比率）。决算数与年初预算数的差异原因：上级专项绿色南京专项补助、农村公路养护补助等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10.其他城乡社区支出（款）其他城乡社区支出（项）。年初预算1,183.39万元，支出决算5,718.65万元，完成年初预算的483.24%。决算数与年初预算数的差异原因：上级专项上断石下断石农村人居基础环境整治工程以及宁丹路沿线老旧小区环境综合整治工程建设等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（九）农林水支出（类）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1.农业农村（款）事业运行（项）。年初预算0万元，支出决算20.79万元，（年初预算数为0万元，无法计算完成比率）。决算数与年初预算数的差异原因：科目调整以及对口协作人员补助经费支出增加。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2.农业农村（款）对高校毕业生到基层任职补助（项）。年初预算0万元，支出决算6.72万元，（年初预算数为0万元，无法计算完成比率）。决算数与年初预算数的差异原因：上级专项资金增加。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3.农业农村（款）其他农业农村支出（项）。年初预算0万元，支出决算9.32万元，（年初预算数为0万元，无法计算完成比率）。决算数与年初预算数的差异原因：测绘技术服务支出经费增加。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林业和草原（款）森林资源培育（项）。年初预算0万元，支出决算724.54万元，（年初预算数为0万元，无法计算完成比率）。决算数与年初预算数的差异原因：上级专项新河市民广场、韩府山防火通道整治工程以及绿化补助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5.林业和草原（款）林业草原防灾减灾（项）。年初预算50万元，支出决算85.28万元，完成年初预算的170.56%。决算数与年初预算数的差异原因：森林防火经费增加。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6.林业和草原（款）其他林业和草原支出（项）。年初预算217.5万元，支出决算128.29万元，完成年初预算的58.98%。决算数与年初预算数的差异原因：森林消防队经费支出减少。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7.水利（款）水利工程运行与维护（项）。年初预算365.08万元，支出决算487.69万元，完成年初预算的133.58%。决算数与年初预算数的差异原因：上级专项小微水体、雨污分流项目支出增加。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8.水利（款）防汛（项）。年初预算30万元，支出决算6.73万元，完成年初预算的22.43%。决算数与年初预算数的差异原因：防汛经费支出减少。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9.农村综合改革（款）对村集体经济组织的补助（项）。年初预算171.7万元，支出决算403.69万元，完成年初预算的235.11%。决算数与年初预算数的差异原因：对村集体补助经费增加。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10.其他农林水支出（款）其他农林水支出（项）。年初预算49.5万元，支出决算64万元，完成年初预算的129.29%。决算数与年初预算数的差异原因：上级专项资金增加以及护渔员经费支出增加。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（十）交通运输支出（类）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公路水路运输（款）公路养护（项）。年初预算0万元，支出决算20万元，（年初预算数为0万元，无法计算完成比率）。决算数与年初预算数的差异原因：上级农村公路养护补助资金经费支出增加。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（十一）资源勘探工业信息等支出（类）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工业和信息产业监管（款）其他工业和信息产业监管支出（项）。年初预算0万元，支出决算218万元，（年初预算数为0万元，无法计算完成比率）。决算数与年初预算数的差异原因：上级专项市工业和信息化发展专项资金散乱污企业专项整治行动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其他资源勘探工业信息等支出（款）其他资源勘探工业信息等支出（项）。年初预算1,943.43万元，支出决算1,205.05万元，完成年初预算的62.01%。决算数与年初预算数的差异原因：物业补贴支出以及消防改造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（十二）商业服务业等支出（类）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他商业服务业等支出（款）其他商业服务业等支出（项）。年初预算13.3万元，支出决算58.69万元，完成年初预算的441.28%。决算数与年初预算数的差异原因：上级专项流通方式创新和生活性服务业创新发展服务业发展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（十三）自然资源海洋气象等支出（类）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自然资源事务（款）自然资源利用与保护（项）。年初预算0万元，支出决算50万元，（年初预算数为0万元，无法计算完成比率）。决算数与年初预算数的差异原因：上级专项国土资源节约集约利用综合评价考核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1.住房改革支出（款）住房公积金（项）。年初预算510.13万元，支出决算213.9万元，完成年初预算的41.93%。决算数与年初预算数的差异原因：人员经费调整。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城乡社区住宅（款）其他城乡社区住宅支出（项）。年初预算0万元，支出决算0.5万元，（年初预算数为0万元，无法计算完成比率）。决算数与年初预算数的差异原因：上级专项资金老旧小区补贴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（十五）国有资本经营预算支出（类）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解决历史遗留问题及改革成本支出（款）国有企业退休人员社会化管理补助支出（项）。年初预算0万元，支出决算33.75万元，（年初预算数为0万元，无法计算完成比率）。决算数与年初预算数的差异原因：上级专项资金社会化管理工作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（十六）灾害防治及应急管理支出（类）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应急管理事务（款）应急管理（项）。年初预算0万元，支出决算8.22万元，（年初预算数为0万元，无法计算完成比率）。决算数与年初预算数的差异原因：上级专项安全生产网格化治理经费支出增加。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（十七）其他支出（类）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彩票公益金安排的支出（款）用于社会福利的彩票公益金支出（项）。年初预算0万元，支出决算20.54万元，（年初预算数为0万元，无法计算完成比率）。决算数与年初预算数的差异原因：上级专项敬老月工作经费以及居家养老上门照护服务等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彩票公益金安排的支出（款）用于体育事业的彩票公益金支出（项）。年初预算0万元，支出决算23万元，（年初预算数为0万元，无法计算完成比率）。决算数与年初预算数的差异原因：上级专项健身小绿园建设经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2021年度财政拨款基本支出决算5,107.63万元，其中：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（一）人员经费4,950.7万元。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机关事业单位基本养老保险缴费、职业年金缴费、职工基本医疗保险缴费、其他社会保障缴费、住房公积金、其他工资福利支出、退休费、抚恤金、生活补助、医疗费补助、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（二）公用经费156.93万元。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主要包括：印刷费、维修（护）费、租赁费、劳务费、工会经费、福利费、其他商品和服务支出。</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2021年度一般公共预算财政拨款支出决算27,300.17万元。与上年相比，增加9,896.73万元，增长56.87%，变动原因：街道财力以及上级专项资金支出增加。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2021年度一般公共预算财政拨款基本支出决算5,107.63万元，其中：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（一）人员经费4,950.7万元。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机关事业单位基本养老保险缴费、职业年金缴费、职工基本医疗保险缴费、其他社会保障缴费、住房公积金、其他工资福利支出、退休费、抚恤金、生活补助、医疗费补助、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（二）公用经费156.93万元。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主要包括：印刷费、维修（护）费、租赁费、劳务费、工会经费、福利费、其他商品和服务支出。</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（一）一般公共预算“三公”经费支出总体情况说明。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2021年度一般公共预算“三公”经费支出决算0万元。与上年决算数相同。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（二）一般公共预算“三公”经费支出具体情况说明。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1．因公出国（境）费支出预算0万元，支出决算0万元，完成预算的100%，决算数与预算数相同。全年使用一般公共预算财政拨款涉及的出国（境）团组0个，累计0人次。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2．公务用车购置及运行维护费支出预算0万元，支出决算0万元，完成预算的100%，决算数与预算数相同。其中：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（1）公务用车购置支出决算0万元。本年度使用一般公共预算财政拨款购置公务用车0辆。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支出决算0万元。公务用车运行维护费主要用于按规定保留的公务用车的燃料费、维修费、过桥过路费、保险费、安全奖励费用等支出。截至2021年12月31日，使用一般公共预算财政拨款开支的公务用车保有量为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3．公务接待费支出预算0万元，支出决算0万元，完成预算的100%，决算数与预算数相同。其中：国内公务接待支出0万元，接待0批次，0人次；国（境）外公务接待支出0万元，接待0批次0人次。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（三）一般公共预算会议费支出决算情况说明。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2021年度一般公共预算财政拨款会议费支出预算0.62万元，支出决算0.62万元，完成预算的100%，决算数与预算数相同。2021年度全年召开会议1个，参加会议45人次，开支内容：文化名家进铁心相关经费支出。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（四）一般公共预算培训费支出决算情况说明。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培训费支出预算4.89万元，支出决算4.89万元，完成预算的100%，决算数与预算数相同。2021年度全年组织培训3个，组织培训190人次，开支内容：书记抓党建干部培训经费以及网格员培训经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2021年度政府性基金预算财政拨款支出决算3,408.93万元。与上年相比，减少2,034.48万元，减少37.38%，变动原因：上级专项资金减少。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2021年度国有资本经营预算财政拨款支出决算33.75万元。与上年相比，增加33.75万元（上年决算数为0万元，无法计算增减比率），变动原因：上级专项资金增加。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2021年度机关运行经费支出决算156.93万元。与上年相比，减少349.23万元，减少69%，变动原因：机关运行经费压减。</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政府采购支出总额3,033.82万元，其中：政府采购货物支出246.14万元、政府采购工程支出128.63万元、政府采购服务支出2,659.05万元。政府采购授予中小企业合同金额0万元，占政府采购支出总额的0%，其中：授予小微企业合同金额0万元，占政府采购支出总额的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截至2021年12月31日，本部门共有车辆4辆，其中：副部(省)级及以上领导用车0辆、主要领导干部用车0辆、机要通信用车0辆、应急保障用车0辆、执法执勤用车0辆、特种专业技术用车0辆、离退休干部用车0辆、其他用车4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十五、预算绩效评价工作开展情况</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2021年度，本部门共20个项目开展了财政重点绩效评价，涉及财政性资金合计6,615.15万元；本部门未开展部门整体支出财政重点绩效评价，涉及财政性资金0万元。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本部门共对上年度已实施完成的20个项目开展了绩效自评价，涉及财政性资金合计1,912.38万元；本部门共开展0项部门整体支出绩效自评价，涉及财政性资金合计0万元。</w:t>
      </w:r>
      <w:r>
        <w:rPr>
          <w:rFonts w:ascii="仿宋" w:hAnsi="仿宋" w:cs="仿宋" w:eastAsia="仿宋"/>
        </w:rPr>
        <w:t/>
      </w:r>
    </w:p>
    <w:p>
      <w:pPr>
        <w:pStyle w:val="5"/>
        <w:tabs>
          <w:tab w:val="left" w:pos="3077"/>
        </w:tabs>
        <w:spacing w:line="616" w:lineRule="exact"/>
        <w:jc w:val="center"/>
        <w:outlineLvl w:val="0"/>
        <w:rPr>
          <w:rFonts w:hint="eastAsia" w:ascii="宋体" w:hAnsi="宋体" w:eastAsia="宋体" w:cs="宋体"/>
          <w:b/>
          <w:bCs/>
          <w:sz w:val="36"/>
          <w:szCs w:val="36"/>
        </w:rPr>
      </w:pPr>
      <w:r>
        <w:rPr>
          <w:rFonts w:hint="eastAsia" w:ascii="宋体" w:hAnsi="宋体" w:eastAsia="宋体" w:cs="宋体"/>
          <w:b/>
          <w:bCs/>
          <w:sz w:val="36"/>
          <w:szCs w:val="36"/>
        </w:rPr>
        <w:t>第四部分 名词</w:t>
      </w:r>
      <w:r>
        <w:rPr>
          <w:rFonts w:hint="eastAsia" w:ascii="宋体" w:hAnsi="宋体" w:eastAsia="宋体" w:cs="宋体"/>
          <w:b/>
          <w:bCs/>
          <w:color w:val="000000"/>
          <w:kern w:val="0"/>
          <w:sz w:val="36"/>
          <w:szCs w:val="36"/>
          <w:lang w:val="zh-CN" w:eastAsia="ar-SA" w:bidi="zh-CN"/>
        </w:rPr>
        <w:t>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一、财政拨款收入</w:t>
      </w:r>
      <w:r>
        <w:rPr>
          <w:rFonts w:ascii="仿宋" w:hAnsi="仿宋" w:cs="仿宋" w:eastAsia="仿宋"/>
          <w:b w:val="true"/>
        </w:rPr>
        <w:t>：</w:t>
      </w:r>
      <w:r>
        <w:rPr>
          <w:rFonts w:hint="eastAsia" w:ascii="仿宋" w:hAnsi="仿宋" w:eastAsia="仿宋" w:cs="仿宋"/>
        </w:rPr>
        <w:t>指单位从同级财政部门取得的各类财政拨款，包括一般公共预算财政拨款、政府性基金预算财政拨款、国有资本经营预算财政拨款。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二、上级补助收入</w:t>
      </w:r>
      <w:r>
        <w:rPr>
          <w:rFonts w:ascii="仿宋" w:hAnsi="仿宋" w:cs="仿宋" w:eastAsia="仿宋"/>
          <w:b w:val="true"/>
        </w:rPr>
        <w:t>：</w:t>
      </w:r>
      <w:r>
        <w:rPr>
          <w:rFonts w:hint="eastAsia" w:ascii="仿宋" w:hAnsi="仿宋" w:eastAsia="仿宋" w:cs="仿宋"/>
        </w:rPr>
        <w:t>指事业单位从主管部门和上级单位取得的非财政补助收入。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三、财政专户管理教育收费</w:t>
      </w:r>
      <w:r>
        <w:rPr>
          <w:rFonts w:ascii="仿宋" w:hAnsi="仿宋" w:cs="仿宋" w:eastAsia="仿宋"/>
          <w:b w:val="true"/>
        </w:rPr>
        <w:t>：</w:t>
      </w:r>
      <w:r>
        <w:rPr>
          <w:rFonts w:hint="eastAsia" w:ascii="仿宋" w:hAnsi="仿宋" w:eastAsia="仿宋" w:cs="仿宋"/>
        </w:rPr>
        <w:t>指缴入财政专户、实行专项管理的高中以上学费、住宿费、高校委托培养费、函大、电大、夜大及短训班培训费等教育收费。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四、事业收入</w:t>
      </w:r>
      <w:r>
        <w:rPr>
          <w:rFonts w:ascii="仿宋" w:hAnsi="仿宋" w:cs="仿宋" w:eastAsia="仿宋"/>
          <w:b w:val="true"/>
        </w:rPr>
        <w:t>：</w:t>
      </w:r>
      <w:r>
        <w:rPr>
          <w:rFonts w:hint="eastAsia" w:ascii="仿宋" w:hAnsi="仿宋" w:eastAsia="仿宋" w:cs="仿宋"/>
        </w:rPr>
        <w:t>指事业单位开展专业业务活动及其辅助活动取得的收入。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五、经营收入</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六、附属单位上缴收入</w:t>
      </w:r>
      <w:r>
        <w:rPr>
          <w:rFonts w:ascii="仿宋" w:hAnsi="仿宋" w:cs="仿宋" w:eastAsia="仿宋"/>
          <w:b w:val="true"/>
        </w:rPr>
        <w:t>：</w:t>
      </w:r>
      <w:r>
        <w:rPr>
          <w:rFonts w:hint="eastAsia" w:ascii="仿宋" w:hAnsi="仿宋" w:eastAsia="仿宋" w:cs="仿宋"/>
        </w:rPr>
        <w:t>指事业单位附属独立核算单位按照有关规定上缴的收入。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七、其他收入</w:t>
      </w:r>
      <w:r>
        <w:rPr>
          <w:rFonts w:ascii="仿宋" w:hAnsi="仿宋" w:cs="仿宋" w:eastAsia="仿宋"/>
          <w:b w:val="true"/>
        </w:rPr>
        <w:t>：</w:t>
      </w:r>
      <w:r>
        <w:rPr>
          <w:rFonts w:hint="eastAsia" w:ascii="仿宋" w:hAnsi="仿宋" w:eastAsia="仿宋" w:cs="仿宋"/>
        </w:rPr>
        <w:t>指单位取得的除上述“财政拨款收入”、 “上级补助收入”、“事业收入”、“经营收入”、“附属单位上缴收入”等以外的各项收入。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八、使用非财政拨款结余</w:t>
      </w:r>
      <w:r>
        <w:rPr>
          <w:rFonts w:ascii="仿宋" w:hAnsi="仿宋" w:cs="仿宋" w:eastAsia="仿宋"/>
          <w:b w:val="true"/>
        </w:rPr>
        <w:t>：</w:t>
      </w:r>
      <w:r>
        <w:rPr>
          <w:rFonts w:hint="eastAsia" w:ascii="仿宋" w:hAnsi="仿宋" w:eastAsia="仿宋" w:cs="仿宋"/>
        </w:rPr>
        <w:t>指事业单位按照预算管理要求使用非财政拨款结余（原事业基金）弥补当年收支差额的数额。</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九、年初结转和结余</w:t>
      </w:r>
      <w:r>
        <w:rPr>
          <w:rFonts w:ascii="仿宋" w:hAnsi="仿宋" w:cs="仿宋" w:eastAsia="仿宋"/>
          <w:b w:val="true"/>
        </w:rPr>
        <w:t>：</w:t>
      </w:r>
      <w:r>
        <w:rPr>
          <w:rFonts w:hint="eastAsia" w:ascii="仿宋" w:hAnsi="仿宋" w:eastAsia="仿宋" w:cs="仿宋"/>
        </w:rPr>
        <w:t>指单位上年结转本年使用的基本支出结转、项目支出结转和结余、经营结余。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十、结余分配</w:t>
      </w:r>
      <w:r>
        <w:rPr>
          <w:rFonts w:ascii="仿宋" w:hAnsi="仿宋" w:cs="仿宋" w:eastAsia="仿宋"/>
          <w:b w:val="true"/>
        </w:rPr>
        <w:t>：</w:t>
      </w:r>
      <w:r>
        <w:rPr>
          <w:rFonts w:hint="eastAsia" w:ascii="仿宋" w:hAnsi="仿宋" w:eastAsia="仿宋" w:cs="仿宋"/>
        </w:rPr>
        <w:t>指事业单位按规定缴纳的所得税以及从非财政拨款结余中提取各类结余的情况。</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十一、年末结转和结余资金</w:t>
      </w:r>
      <w:r>
        <w:rPr>
          <w:rFonts w:ascii="仿宋" w:hAnsi="仿宋" w:cs="仿宋" w:eastAsia="仿宋"/>
          <w:b w:val="true"/>
        </w:rPr>
        <w:t>：</w:t>
      </w:r>
      <w:r>
        <w:rPr>
          <w:rFonts w:hint="eastAsia" w:ascii="仿宋" w:hAnsi="仿宋" w:eastAsia="仿宋" w:cs="仿宋"/>
        </w:rPr>
        <w:t>指单位结转下年的基本支出结转、项目支出结转和结余、经营结余。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十二、基本支出</w:t>
      </w:r>
      <w:r>
        <w:rPr>
          <w:rFonts w:ascii="仿宋" w:hAnsi="仿宋" w:cs="仿宋" w:eastAsia="仿宋"/>
          <w:b w:val="true"/>
        </w:rPr>
        <w:t>：</w:t>
      </w:r>
      <w:r>
        <w:rPr>
          <w:rFonts w:hint="eastAsia" w:ascii="仿宋" w:hAnsi="仿宋" w:eastAsia="仿宋" w:cs="仿宋"/>
        </w:rPr>
        <w:t>指为保障机构正常运转、完成日常工作任务所发生的支出，包括人员经费和公用经费。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十三、项目支出</w:t>
      </w:r>
      <w:r>
        <w:rPr>
          <w:rFonts w:ascii="仿宋" w:hAnsi="仿宋" w:cs="仿宋" w:eastAsia="仿宋"/>
          <w:b w:val="true"/>
        </w:rPr>
        <w:t>：</w:t>
      </w:r>
      <w:r>
        <w:rPr>
          <w:rFonts w:hint="eastAsia" w:ascii="仿宋" w:hAnsi="仿宋" w:eastAsia="仿宋" w:cs="仿宋"/>
        </w:rPr>
        <w:t>指在为完成特定的工作任务和事业发展目标所发生的支出。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十四、上缴上级支出</w:t>
      </w:r>
      <w:r>
        <w:rPr>
          <w:rFonts w:ascii="仿宋" w:hAnsi="仿宋" w:cs="仿宋" w:eastAsia="仿宋"/>
          <w:b w:val="true"/>
        </w:rPr>
        <w:t>：</w:t>
      </w:r>
      <w:r>
        <w:rPr>
          <w:rFonts w:hint="eastAsia" w:ascii="仿宋" w:hAnsi="仿宋" w:eastAsia="仿宋" w:cs="仿宋"/>
        </w:rPr>
        <w:t>指事业单位按照财政部门和主管部门的规定上缴上级单位的支出。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十五、经营支出</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十六、对附属单位补助支出</w:t>
      </w:r>
      <w:r>
        <w:rPr>
          <w:rFonts w:ascii="仿宋" w:hAnsi="仿宋" w:cs="仿宋" w:eastAsia="仿宋"/>
          <w:b w:val="true"/>
        </w:rPr>
        <w:t>：</w:t>
      </w:r>
      <w:r>
        <w:rPr>
          <w:rFonts w:hint="eastAsia" w:ascii="仿宋" w:hAnsi="仿宋" w:eastAsia="仿宋" w:cs="仿宋"/>
        </w:rPr>
        <w:t>指事业单位用财政拨款收入之外的收入对附属单位补助发生的支出。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十九、一般公共服务支出(类)人大事务(款)行政运行(项)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二十、一般公共服务支出(类)人大事务(款)一般行政管理事务(项)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二十一、一般公共服务支出(类)政协事务(款)一般行政管理事务(项)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二十二、一般公共服务支出(类)政府办公厅（室）及相关机构事务(款)行政运行(项)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二十三、一般公共服务支出(类)政府办公厅（室）及相关机构事务(款)一般行政管理事务(项)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二十四、一般公共服务支出(类)政府办公厅（室）及相关机构事务(款)信访事务(项)</w:t>
      </w:r>
      <w:r>
        <w:rPr>
          <w:rFonts w:ascii="仿宋" w:hAnsi="仿宋" w:cs="仿宋" w:eastAsia="仿宋"/>
          <w:b w:val="true"/>
        </w:rPr>
        <w:t>：</w:t>
      </w:r>
      <w:r>
        <w:rPr>
          <w:rFonts w:hint="eastAsia" w:ascii="仿宋" w:hAnsi="仿宋" w:eastAsia="仿宋" w:cs="仿宋"/>
        </w:rPr>
        <w:t>反映各级政府用于接待群众来信来访方面的支出。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二十五、一般公共服务支出(类)政府办公厅（室）及相关机构事务(款)其他政府办公厅（室）及相关机构事务支出(项)</w:t>
      </w:r>
      <w:r>
        <w:rPr>
          <w:rFonts w:ascii="仿宋" w:hAnsi="仿宋" w:cs="仿宋" w:eastAsia="仿宋"/>
          <w:b w:val="true"/>
        </w:rPr>
        <w:t>：</w:t>
      </w:r>
      <w:r>
        <w:rPr>
          <w:rFonts w:hint="eastAsia" w:ascii="仿宋" w:hAnsi="仿宋" w:eastAsia="仿宋" w:cs="仿宋"/>
        </w:rPr>
        <w:t>反映除上述项目以外的其他政府办公厅（室）及相关机构事务支出。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二十六、一般公共服务支出(类)统计信息事务(款)专项普查活动(项)</w:t>
      </w:r>
      <w:r>
        <w:rPr>
          <w:rFonts w:ascii="仿宋" w:hAnsi="仿宋" w:cs="仿宋" w:eastAsia="仿宋"/>
          <w:b w:val="true"/>
        </w:rPr>
        <w:t>：</w:t>
      </w:r>
      <w:r>
        <w:rPr>
          <w:rFonts w:hint="eastAsia" w:ascii="仿宋" w:hAnsi="仿宋" w:eastAsia="仿宋" w:cs="仿宋"/>
        </w:rPr>
        <w:t>反映统计部门开展人口普查、经济普查、农业普查、投入产出调查等周期性普查工作的支出。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二十七、一般公共服务支出(类)统计信息事务(款)统计抽样调查(项)</w:t>
      </w:r>
      <w:r>
        <w:rPr>
          <w:rFonts w:ascii="仿宋" w:hAnsi="仿宋" w:cs="仿宋" w:eastAsia="仿宋"/>
          <w:b w:val="true"/>
        </w:rPr>
        <w:t>：</w:t>
      </w:r>
      <w:r>
        <w:rPr>
          <w:rFonts w:hint="eastAsia" w:ascii="仿宋" w:hAnsi="仿宋" w:eastAsia="仿宋" w:cs="仿宋"/>
        </w:rPr>
        <w:t>反映统计抽样调查队开展各类统计调查工作的支出。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二十八、一般公共服务支出(类)财政事务(款)行政运行(项)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二十九、一般公共服务支出(类)财政事务(款)一般行政管理事务(项)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三十、一般公共服务支出(类)财政事务(款)其他财政事务支出(项)</w:t>
      </w:r>
      <w:r>
        <w:rPr>
          <w:rFonts w:ascii="仿宋" w:hAnsi="仿宋" w:cs="仿宋" w:eastAsia="仿宋"/>
          <w:b w:val="true"/>
        </w:rPr>
        <w:t>：</w:t>
      </w:r>
      <w:r>
        <w:rPr>
          <w:rFonts w:hint="eastAsia" w:ascii="仿宋" w:hAnsi="仿宋" w:eastAsia="仿宋" w:cs="仿宋"/>
        </w:rPr>
        <w:t>反映除上述项目以外其他财政事务方面的支出。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三十一、一般公共服务支出(类)纪检监察事务(款)其他纪检监察事务支出(项)</w:t>
      </w:r>
      <w:r>
        <w:rPr>
          <w:rFonts w:ascii="仿宋" w:hAnsi="仿宋" w:cs="仿宋" w:eastAsia="仿宋"/>
          <w:b w:val="true"/>
        </w:rPr>
        <w:t>：</w:t>
      </w:r>
      <w:r>
        <w:rPr>
          <w:rFonts w:hint="eastAsia" w:ascii="仿宋" w:hAnsi="仿宋" w:eastAsia="仿宋" w:cs="仿宋"/>
        </w:rPr>
        <w:t>反映除上述项目以外其他纪检监察事务方面的支出。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三十二、一般公共服务支出(类)民族事务(款)其他民族事务支出(项)</w:t>
      </w:r>
      <w:r>
        <w:rPr>
          <w:rFonts w:ascii="仿宋" w:hAnsi="仿宋" w:cs="仿宋" w:eastAsia="仿宋"/>
          <w:b w:val="true"/>
        </w:rPr>
        <w:t>：</w:t>
      </w:r>
      <w:r>
        <w:rPr>
          <w:rFonts w:hint="eastAsia" w:ascii="仿宋" w:hAnsi="仿宋" w:eastAsia="仿宋" w:cs="仿宋"/>
        </w:rPr>
        <w:t>反映除上述项目以外其他用于民族事务方面的支出。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三十三、一般公共服务支出(类)群众团体事务(款)其他群众团体事务支出(项)</w:t>
      </w:r>
      <w:r>
        <w:rPr>
          <w:rFonts w:ascii="仿宋" w:hAnsi="仿宋" w:cs="仿宋" w:eastAsia="仿宋"/>
          <w:b w:val="true"/>
        </w:rPr>
        <w:t>：</w:t>
      </w:r>
      <w:r>
        <w:rPr>
          <w:rFonts w:hint="eastAsia" w:ascii="仿宋" w:hAnsi="仿宋" w:eastAsia="仿宋" w:cs="仿宋"/>
        </w:rPr>
        <w:t>反映除上述项目以外其他用于群众团体事务方面的支出。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三十四、一般公共服务支出(类)党委办公厅（室）及相关机构事务(款)一般行政管理事务(项)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三十五、一般公共服务支出(类)宣传事务(款)其他宣传事务支出(项)</w:t>
      </w:r>
      <w:r>
        <w:rPr>
          <w:rFonts w:ascii="仿宋" w:hAnsi="仿宋" w:cs="仿宋" w:eastAsia="仿宋"/>
          <w:b w:val="true"/>
        </w:rPr>
        <w:t>：</w:t>
      </w:r>
      <w:r>
        <w:rPr>
          <w:rFonts w:hint="eastAsia" w:ascii="仿宋" w:hAnsi="仿宋" w:eastAsia="仿宋" w:cs="仿宋"/>
        </w:rPr>
        <w:t>反映除上述项目以外其他用于中国共产党宣传部门的事务支出。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三十六、一般公共服务支出(类)统战事务(款)行政运行(项)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三十七、一般公共服务支出(类)统战事务(款)一般行政管理事务(项)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三十八、一般公共服务支出(类)其他共产党事务支出(款)其他共产党事务支出(项)</w:t>
      </w:r>
      <w:r>
        <w:rPr>
          <w:rFonts w:ascii="仿宋" w:hAnsi="仿宋" w:cs="仿宋" w:eastAsia="仿宋"/>
          <w:b w:val="true"/>
        </w:rPr>
        <w:t>：</w:t>
      </w:r>
      <w:r>
        <w:rPr>
          <w:rFonts w:hint="eastAsia" w:ascii="仿宋" w:hAnsi="仿宋" w:eastAsia="仿宋" w:cs="仿宋"/>
        </w:rPr>
        <w:t>反映除上述项目以外其他用于中国共产党事务的支出。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三十九、一般公共服务支出(类)市场监督管理事务(款)市场主体管理(项)</w:t>
      </w:r>
      <w:r>
        <w:rPr>
          <w:rFonts w:ascii="仿宋" w:hAnsi="仿宋" w:cs="仿宋" w:eastAsia="仿宋"/>
          <w:b w:val="true"/>
        </w:rPr>
        <w:t>：</w:t>
      </w:r>
      <w:r>
        <w:rPr>
          <w:rFonts w:hint="eastAsia" w:ascii="仿宋" w:hAnsi="仿宋" w:eastAsia="仿宋" w:cs="仿宋"/>
        </w:rPr>
        <w:t>反映市场准入、许可审批、信用监管等市场主体管理专项工作支出。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四十、一般公共服务支出(类)其他一般公共服务支出(款)其他一般公共服务支出(项)</w:t>
      </w:r>
      <w:r>
        <w:rPr>
          <w:rFonts w:ascii="仿宋" w:hAnsi="仿宋" w:cs="仿宋" w:eastAsia="仿宋"/>
          <w:b w:val="true"/>
        </w:rPr>
        <w:t>：</w:t>
      </w:r>
      <w:r>
        <w:rPr>
          <w:rFonts w:hint="eastAsia" w:ascii="仿宋" w:hAnsi="仿宋" w:eastAsia="仿宋" w:cs="仿宋"/>
        </w:rPr>
        <w:t>反映除上述项目以外的其他一般公共服务支出。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四十一、公共安全支出(类)公安(款)其他公安支出(项)</w:t>
      </w:r>
      <w:r>
        <w:rPr>
          <w:rFonts w:ascii="仿宋" w:hAnsi="仿宋" w:cs="仿宋" w:eastAsia="仿宋"/>
          <w:b w:val="true"/>
        </w:rPr>
        <w:t>：</w:t>
      </w:r>
      <w:r>
        <w:rPr>
          <w:rFonts w:hint="eastAsia" w:ascii="仿宋" w:hAnsi="仿宋" w:eastAsia="仿宋" w:cs="仿宋"/>
        </w:rPr>
        <w:t>反映除上述项目以外其他用于公安方面的支出。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四十二、公共安全支出(类)司法(款)基层司法业务(项)</w:t>
      </w:r>
      <w:r>
        <w:rPr>
          <w:rFonts w:ascii="仿宋" w:hAnsi="仿宋" w:cs="仿宋" w:eastAsia="仿宋"/>
          <w:b w:val="true"/>
        </w:rPr>
        <w:t>：</w:t>
      </w:r>
      <w:r>
        <w:rPr>
          <w:rFonts w:hint="eastAsia" w:ascii="仿宋" w:hAnsi="仿宋" w:eastAsia="仿宋" w:cs="仿宋"/>
        </w:rPr>
        <w:t>反映各级司法行政部门用于基层业务的支出，包括基层工作指导费、调解费、安置帮教费、司法所经费和公共法律服务平台相关支出、人民陪审员选任管理费用、人民监督员选任管理费用等支出。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四十三、公共安全支出(类)司法(款)其他司法支出(项)</w:t>
      </w:r>
      <w:r>
        <w:rPr>
          <w:rFonts w:ascii="仿宋" w:hAnsi="仿宋" w:cs="仿宋" w:eastAsia="仿宋"/>
          <w:b w:val="true"/>
        </w:rPr>
        <w:t>：</w:t>
      </w:r>
      <w:r>
        <w:rPr>
          <w:rFonts w:hint="eastAsia" w:ascii="仿宋" w:hAnsi="仿宋" w:eastAsia="仿宋" w:cs="仿宋"/>
        </w:rPr>
        <w:t>反映司法行政部门发生的法学研究费、司法协助费、典型推广和表彰费、证书工本费等支出。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四十四、公共安全支出(类)其他公共安全支出(款)其他公共安全支出(项)</w:t>
      </w:r>
      <w:r>
        <w:rPr>
          <w:rFonts w:ascii="仿宋" w:hAnsi="仿宋" w:cs="仿宋" w:eastAsia="仿宋"/>
          <w:b w:val="true"/>
        </w:rPr>
        <w:t>：</w:t>
      </w:r>
      <w:r>
        <w:rPr>
          <w:rFonts w:hint="eastAsia" w:ascii="仿宋" w:hAnsi="仿宋" w:eastAsia="仿宋" w:cs="仿宋"/>
        </w:rPr>
        <w:t>反映除上述项目以外其他用于公共安全方面的支出。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四十五、教育支出(类)普通教育(款)学前教育(项)</w:t>
      </w:r>
      <w:r>
        <w:rPr>
          <w:rFonts w:ascii="仿宋" w:hAnsi="仿宋" w:cs="仿宋" w:eastAsia="仿宋"/>
          <w:b w:val="true"/>
        </w:rPr>
        <w:t>：</w:t>
      </w:r>
      <w:r>
        <w:rPr>
          <w:rFonts w:hint="eastAsia" w:ascii="仿宋" w:hAnsi="仿宋" w:eastAsia="仿宋" w:cs="仿宋"/>
        </w:rPr>
        <w:t>反映各部门举办的学前教育支出。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四十六、教育支出(类)成人教育(款)其他成人教育支出(项)</w:t>
      </w:r>
      <w:r>
        <w:rPr>
          <w:rFonts w:ascii="仿宋" w:hAnsi="仿宋" w:cs="仿宋" w:eastAsia="仿宋"/>
          <w:b w:val="true"/>
        </w:rPr>
        <w:t>：</w:t>
      </w:r>
      <w:r>
        <w:rPr>
          <w:rFonts w:hint="eastAsia" w:ascii="仿宋" w:hAnsi="仿宋" w:eastAsia="仿宋" w:cs="仿宋"/>
        </w:rPr>
        <w:t>反映除上述项目以外其他用于成人教育方面的支出。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四十七、教育支出(类)其他教育支出(款)其他教育支出(项)</w:t>
      </w:r>
      <w:r>
        <w:rPr>
          <w:rFonts w:ascii="仿宋" w:hAnsi="仿宋" w:cs="仿宋" w:eastAsia="仿宋"/>
          <w:b w:val="true"/>
        </w:rPr>
        <w:t>：</w:t>
      </w:r>
      <w:r>
        <w:rPr>
          <w:rFonts w:hint="eastAsia" w:ascii="仿宋" w:hAnsi="仿宋" w:eastAsia="仿宋" w:cs="仿宋"/>
        </w:rPr>
        <w:t>反映除上述项目以外其他用于教育方面的支出。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四十八、文化旅游体育与传媒支出(类)文化和旅游(款)艺术表演团体(项)</w:t>
      </w:r>
      <w:r>
        <w:rPr>
          <w:rFonts w:ascii="仿宋" w:hAnsi="仿宋" w:cs="仿宋" w:eastAsia="仿宋"/>
          <w:b w:val="true"/>
        </w:rPr>
        <w:t>：</w:t>
      </w:r>
      <w:r>
        <w:rPr>
          <w:rFonts w:hint="eastAsia" w:ascii="仿宋" w:hAnsi="仿宋" w:eastAsia="仿宋" w:cs="仿宋"/>
        </w:rPr>
        <w:t>反映文化及其他部门主管的剧院（团）等艺术表演团体的支出。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四十九、文化旅游体育与传媒支出(类)文化和旅游(款)文化活动(项)</w:t>
      </w:r>
      <w:r>
        <w:rPr>
          <w:rFonts w:ascii="仿宋" w:hAnsi="仿宋" w:cs="仿宋" w:eastAsia="仿宋"/>
          <w:b w:val="true"/>
        </w:rPr>
        <w:t>：</w:t>
      </w:r>
      <w:r>
        <w:rPr>
          <w:rFonts w:hint="eastAsia" w:ascii="仿宋" w:hAnsi="仿宋" w:eastAsia="仿宋" w:cs="仿宋"/>
        </w:rPr>
        <w:t>反映举办大型文化艺术活动的支出。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五十、文化旅游体育与传媒支出(类)文化和旅游(款)其他文化和旅游支出(项)</w:t>
      </w:r>
      <w:r>
        <w:rPr>
          <w:rFonts w:ascii="仿宋" w:hAnsi="仿宋" w:cs="仿宋" w:eastAsia="仿宋"/>
          <w:b w:val="true"/>
        </w:rPr>
        <w:t>：</w:t>
      </w:r>
      <w:r>
        <w:rPr>
          <w:rFonts w:hint="eastAsia" w:ascii="仿宋" w:hAnsi="仿宋" w:eastAsia="仿宋" w:cs="仿宋"/>
        </w:rPr>
        <w:t>反映除上述项目以外其他用于文化和旅游方面的支出。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五十一、文化旅游体育与传媒支出(类)体育(款)其他体育支出(项)</w:t>
      </w:r>
      <w:r>
        <w:rPr>
          <w:rFonts w:ascii="仿宋" w:hAnsi="仿宋" w:cs="仿宋" w:eastAsia="仿宋"/>
          <w:b w:val="true"/>
        </w:rPr>
        <w:t>：</w:t>
      </w:r>
      <w:r>
        <w:rPr>
          <w:rFonts w:hint="eastAsia" w:ascii="仿宋" w:hAnsi="仿宋" w:eastAsia="仿宋" w:cs="仿宋"/>
        </w:rPr>
        <w:t>反映除上述项目以外其他用于体育方面的支出。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五十二、文化旅游体育与传媒支出(类)其他文化旅游体育与传媒支出(款)其他文化旅游体育与传媒支出(项)</w:t>
      </w:r>
      <w:r>
        <w:rPr>
          <w:rFonts w:ascii="仿宋" w:hAnsi="仿宋" w:cs="仿宋" w:eastAsia="仿宋"/>
          <w:b w:val="true"/>
        </w:rPr>
        <w:t>：</w:t>
      </w:r>
      <w:r>
        <w:rPr>
          <w:rFonts w:hint="eastAsia" w:ascii="仿宋" w:hAnsi="仿宋" w:eastAsia="仿宋" w:cs="仿宋"/>
        </w:rPr>
        <w:t>反映除上述项目以外其他用于文化旅游体育与传媒方面的支出。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五十三、社会保障和就业支出(类)人力资源和社会保障管理事务(款)就业管理事务(项)</w:t>
      </w:r>
      <w:r>
        <w:rPr>
          <w:rFonts w:ascii="仿宋" w:hAnsi="仿宋" w:cs="仿宋" w:eastAsia="仿宋"/>
          <w:b w:val="true"/>
        </w:rPr>
        <w:t>：</w:t>
      </w:r>
      <w:r>
        <w:rPr>
          <w:rFonts w:hint="eastAsia" w:ascii="仿宋" w:hAnsi="仿宋" w:eastAsia="仿宋" w:cs="仿宋"/>
        </w:rPr>
        <w:t>反映就业和职业技能鉴定管理方面的支出。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五十四、社会保障和就业支出(类)民政管理事务(款)基层政权建设和社区治理(项)</w:t>
      </w:r>
      <w:r>
        <w:rPr>
          <w:rFonts w:ascii="仿宋" w:hAnsi="仿宋" w:cs="仿宋" w:eastAsia="仿宋"/>
          <w:b w:val="true"/>
        </w:rPr>
        <w:t>：</w:t>
      </w:r>
      <w:r>
        <w:rPr>
          <w:rFonts w:hint="eastAsia" w:ascii="仿宋" w:hAnsi="仿宋" w:eastAsia="仿宋" w:cs="仿宋"/>
        </w:rPr>
        <w:t>反映开展城乡社区治理、城乡社区服务（乡村便民服务）、村（居）民自治、村（居）务公开、乡镇（街道）服务能力建设等基层政权建设和社区治理工作的支出。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五十五、社会保障和就业支出(类)行政事业单位养老支出(款)行政单位离退休(项)</w:t>
      </w:r>
      <w:r>
        <w:rPr>
          <w:rFonts w:ascii="仿宋" w:hAnsi="仿宋" w:cs="仿宋" w:eastAsia="仿宋"/>
          <w:b w:val="true"/>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五十六、社会保障和就业支出(类)行政事业单位养老支出(款)其他行政事业单位养老支出(项)</w:t>
      </w:r>
      <w:r>
        <w:rPr>
          <w:rFonts w:ascii="仿宋" w:hAnsi="仿宋" w:cs="仿宋" w:eastAsia="仿宋"/>
          <w:b w:val="true"/>
        </w:rPr>
        <w:t>：</w:t>
      </w:r>
      <w:r>
        <w:rPr>
          <w:rFonts w:hint="eastAsia" w:ascii="仿宋" w:hAnsi="仿宋" w:eastAsia="仿宋" w:cs="仿宋"/>
        </w:rPr>
        <w:t>反映除上述项目以外其他用于行政事业单位养老方面的支出。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五十七、社会保障和就业支出(类)就业补助(款)就业创业服务补贴(项)</w:t>
      </w:r>
      <w:r>
        <w:rPr>
          <w:rFonts w:ascii="仿宋" w:hAnsi="仿宋" w:cs="仿宋" w:eastAsia="仿宋"/>
          <w:b w:val="true"/>
        </w:rPr>
        <w:t>：</w:t>
      </w:r>
      <w:r>
        <w:rPr>
          <w:rFonts w:hint="eastAsia" w:ascii="仿宋" w:hAnsi="仿宋" w:eastAsia="仿宋" w:cs="仿宋"/>
        </w:rPr>
        <w:t>反映财政用于支持加强公共就业服务机构提升创业服务能力和向社会力量购买就业创业服务成果的补助支出。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五十八、社会保障和就业支出(类)就业补助(款)其他就业补助支出(项)</w:t>
      </w:r>
      <w:r>
        <w:rPr>
          <w:rFonts w:ascii="仿宋" w:hAnsi="仿宋" w:cs="仿宋" w:eastAsia="仿宋"/>
          <w:b w:val="true"/>
        </w:rPr>
        <w:t>：</w:t>
      </w:r>
      <w:r>
        <w:rPr>
          <w:rFonts w:hint="eastAsia" w:ascii="仿宋" w:hAnsi="仿宋" w:eastAsia="仿宋" w:cs="仿宋"/>
        </w:rPr>
        <w:t>反映除上述项目以外按规定确定的其他用于促进就业的补助支出。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五十九、社会保障和就业支出(类)抚恤(款)其他优抚支出(项)</w:t>
      </w:r>
      <w:r>
        <w:rPr>
          <w:rFonts w:ascii="仿宋" w:hAnsi="仿宋" w:cs="仿宋" w:eastAsia="仿宋"/>
          <w:b w:val="true"/>
        </w:rPr>
        <w:t>：</w:t>
      </w:r>
      <w:r>
        <w:rPr>
          <w:rFonts w:hint="eastAsia" w:ascii="仿宋" w:hAnsi="仿宋" w:eastAsia="仿宋" w:cs="仿宋"/>
        </w:rPr>
        <w:t>反映除上述项目以外其他用于优抚方面的支出。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六十、社会保障和就业支出(类)退役安置(款)退役士兵安置(项)</w:t>
      </w:r>
      <w:r>
        <w:rPr>
          <w:rFonts w:ascii="仿宋" w:hAnsi="仿宋" w:cs="仿宋" w:eastAsia="仿宋"/>
          <w:b w:val="true"/>
        </w:rPr>
        <w:t>：</w:t>
      </w:r>
      <w:r>
        <w:rPr>
          <w:rFonts w:hint="eastAsia" w:ascii="仿宋" w:hAnsi="仿宋" w:eastAsia="仿宋" w:cs="仿宋"/>
        </w:rPr>
        <w:t>反映按规定用于伤残义务兵的一次性建房补助，对符合条件的退役士兵、转业士官的安置支出。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六十一、社会保障和就业支出(类)退役安置(款)其他退役安置支出(项)</w:t>
      </w:r>
      <w:r>
        <w:rPr>
          <w:rFonts w:ascii="仿宋" w:hAnsi="仿宋" w:cs="仿宋" w:eastAsia="仿宋"/>
          <w:b w:val="true"/>
        </w:rPr>
        <w:t>：</w:t>
      </w:r>
      <w:r>
        <w:rPr>
          <w:rFonts w:hint="eastAsia" w:ascii="仿宋" w:hAnsi="仿宋" w:eastAsia="仿宋" w:cs="仿宋"/>
        </w:rPr>
        <w:t>反映除上述项目以外其他用于退役安置方面的支出。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六十二、社会保障和就业支出(类)社会福利(款)儿童福利(项)</w:t>
      </w:r>
      <w:r>
        <w:rPr>
          <w:rFonts w:ascii="仿宋" w:hAnsi="仿宋" w:cs="仿宋" w:eastAsia="仿宋"/>
          <w:b w:val="true"/>
        </w:rPr>
        <w:t>：</w:t>
      </w:r>
      <w:r>
        <w:rPr>
          <w:rFonts w:hint="eastAsia" w:ascii="仿宋" w:hAnsi="仿宋" w:eastAsia="仿宋" w:cs="仿宋"/>
        </w:rPr>
        <w:t>反映对儿童提供福利服务方面的支出。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六十三、社会保障和就业支出(类)社会福利(款)老年福利(项)</w:t>
      </w:r>
      <w:r>
        <w:rPr>
          <w:rFonts w:ascii="仿宋" w:hAnsi="仿宋" w:cs="仿宋" w:eastAsia="仿宋"/>
          <w:b w:val="true"/>
        </w:rPr>
        <w:t>：</w:t>
      </w:r>
      <w:r>
        <w:rPr>
          <w:rFonts w:hint="eastAsia" w:ascii="仿宋" w:hAnsi="仿宋" w:eastAsia="仿宋" w:cs="仿宋"/>
        </w:rPr>
        <w:t>反映对老年人提供福利服务方面的支出，包括为经济困难的高龄、失能等老年人提供基本养老服务保障的资金补助等支出。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六十四、社会保障和就业支出(类)社会福利(款)殡葬(项)</w:t>
      </w:r>
      <w:r>
        <w:rPr>
          <w:rFonts w:ascii="仿宋" w:hAnsi="仿宋" w:cs="仿宋" w:eastAsia="仿宋"/>
          <w:b w:val="true"/>
        </w:rPr>
        <w:t>：</w:t>
      </w:r>
      <w:r>
        <w:rPr>
          <w:rFonts w:hint="eastAsia" w:ascii="仿宋" w:hAnsi="仿宋" w:eastAsia="仿宋" w:cs="仿宋"/>
        </w:rPr>
        <w:t>反映殡葬管理和殡葬服务方面的支出，包括民政部门直属的殡仪馆、公墓、殡葬管理服务机构的支出。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六十五、社会保障和就业支出(类)社会福利(款)养老服务(项)</w:t>
      </w:r>
      <w:r>
        <w:rPr>
          <w:rFonts w:ascii="仿宋" w:hAnsi="仿宋" w:cs="仿宋" w:eastAsia="仿宋"/>
          <w:b w:val="true"/>
        </w:rPr>
        <w:t>：</w:t>
      </w:r>
      <w:r>
        <w:rPr>
          <w:rFonts w:hint="eastAsia" w:ascii="仿宋" w:hAnsi="仿宋" w:eastAsia="仿宋" w:cs="仿宋"/>
        </w:rPr>
        <w:t>反映财政在养老服务方面的补助支出，包括支持养老服务机构提供居家社区养老服务的支出，对养老服务机构的运营、建设补助支出等，不包括对社会福利事业单位的补助支出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六十六、社会保障和就业支出(类)残疾人事业(款)残疾人生活和护理补贴(项)</w:t>
      </w:r>
      <w:r>
        <w:rPr>
          <w:rFonts w:ascii="仿宋" w:hAnsi="仿宋" w:cs="仿宋" w:eastAsia="仿宋"/>
          <w:b w:val="true"/>
        </w:rPr>
        <w:t>：</w:t>
      </w:r>
      <w:r>
        <w:rPr>
          <w:rFonts w:hint="eastAsia" w:ascii="仿宋" w:hAnsi="仿宋" w:eastAsia="仿宋" w:cs="仿宋"/>
        </w:rPr>
        <w:t>反映困难残疾人生活补贴和重度残疾人护理补贴支出。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六十七、社会保障和就业支出(类)残疾人事业(款)其他残疾人事业支出(项)</w:t>
      </w:r>
      <w:r>
        <w:rPr>
          <w:rFonts w:ascii="仿宋" w:hAnsi="仿宋" w:cs="仿宋" w:eastAsia="仿宋"/>
          <w:b w:val="true"/>
        </w:rPr>
        <w:t>：</w:t>
      </w:r>
      <w:r>
        <w:rPr>
          <w:rFonts w:hint="eastAsia" w:ascii="仿宋" w:hAnsi="仿宋" w:eastAsia="仿宋" w:cs="仿宋"/>
        </w:rPr>
        <w:t>反映除上述项目以外其他用于残疾人事业方面的支出。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六十八、社会保障和就业支出(类)红十字事业(款)其他红十字事业支出(项)</w:t>
      </w:r>
      <w:r>
        <w:rPr>
          <w:rFonts w:ascii="仿宋" w:hAnsi="仿宋" w:cs="仿宋" w:eastAsia="仿宋"/>
          <w:b w:val="true"/>
        </w:rPr>
        <w:t>：</w:t>
      </w:r>
      <w:r>
        <w:rPr>
          <w:rFonts w:hint="eastAsia" w:ascii="仿宋" w:hAnsi="仿宋" w:eastAsia="仿宋" w:cs="仿宋"/>
        </w:rPr>
        <w:t>反映除上述项目以外其他用于红十字事业方面的支出。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六十九、社会保障和就业支出(类)最低生活保障(款)城市最低生活保障金支出(项)</w:t>
      </w:r>
      <w:r>
        <w:rPr>
          <w:rFonts w:ascii="仿宋" w:hAnsi="仿宋" w:cs="仿宋" w:eastAsia="仿宋"/>
          <w:b w:val="true"/>
        </w:rPr>
        <w:t>：</w:t>
      </w:r>
      <w:r>
        <w:rPr>
          <w:rFonts w:hint="eastAsia" w:ascii="仿宋" w:hAnsi="仿宋" w:eastAsia="仿宋" w:cs="仿宋"/>
        </w:rPr>
        <w:t>反映城市最低生活保障对象的最低生活保障金支出。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七十、社会保障和就业支出(类)临时救助(款)临时救助支出(项)</w:t>
      </w:r>
      <w:r>
        <w:rPr>
          <w:rFonts w:ascii="仿宋" w:hAnsi="仿宋" w:cs="仿宋" w:eastAsia="仿宋"/>
          <w:b w:val="true"/>
        </w:rPr>
        <w:t>：</w:t>
      </w:r>
      <w:r>
        <w:rPr>
          <w:rFonts w:hint="eastAsia" w:ascii="仿宋" w:hAnsi="仿宋" w:eastAsia="仿宋" w:cs="仿宋"/>
        </w:rPr>
        <w:t>反映用于城乡生活困难居民的临时救助支出。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七十一、社会保障和就业支出(类)临时救助(款)流浪乞讨人员救助支出(项)</w:t>
      </w:r>
      <w:r>
        <w:rPr>
          <w:rFonts w:ascii="仿宋" w:hAnsi="仿宋" w:cs="仿宋" w:eastAsia="仿宋"/>
          <w:b w:val="true"/>
        </w:rPr>
        <w:t>：</w:t>
      </w:r>
      <w:r>
        <w:rPr>
          <w:rFonts w:hint="eastAsia" w:ascii="仿宋" w:hAnsi="仿宋" w:eastAsia="仿宋" w:cs="仿宋"/>
        </w:rPr>
        <w:t>反映用于生活无着的流浪乞讨人员的救助支出和救助管理机构的运转支出。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七十二、社会保障和就业支出(类)特困人员救助供养(款)城市特困人员救助供养支出(项)</w:t>
      </w:r>
      <w:r>
        <w:rPr>
          <w:rFonts w:ascii="仿宋" w:hAnsi="仿宋" w:cs="仿宋" w:eastAsia="仿宋"/>
          <w:b w:val="true"/>
        </w:rPr>
        <w:t>：</w:t>
      </w:r>
      <w:r>
        <w:rPr>
          <w:rFonts w:hint="eastAsia" w:ascii="仿宋" w:hAnsi="仿宋" w:eastAsia="仿宋" w:cs="仿宋"/>
        </w:rPr>
        <w:t>反映城市特困人员救助供养支出。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七十三、社会保障和就业支出(类)其他生活救助(款)其他城市生活救助(项)</w:t>
      </w:r>
      <w:r>
        <w:rPr>
          <w:rFonts w:ascii="仿宋" w:hAnsi="仿宋" w:cs="仿宋" w:eastAsia="仿宋"/>
          <w:b w:val="true"/>
        </w:rPr>
        <w:t>：</w:t>
      </w:r>
      <w:r>
        <w:rPr>
          <w:rFonts w:hint="eastAsia" w:ascii="仿宋" w:hAnsi="仿宋" w:eastAsia="仿宋" w:cs="仿宋"/>
        </w:rPr>
        <w:t>反映除最低生活保障、临时救助、特困人员供养外，用于城市生活困难居民生活救助的其他支出。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七十四、社会保障和就业支出(类)财政对其他社会保险基金的补助(款)其他财政对社会保险基金的补助(项)</w:t>
      </w:r>
      <w:r>
        <w:rPr>
          <w:rFonts w:ascii="仿宋" w:hAnsi="仿宋" w:cs="仿宋" w:eastAsia="仿宋"/>
          <w:b w:val="true"/>
        </w:rPr>
        <w:t>：</w:t>
      </w:r>
      <w:r>
        <w:rPr>
          <w:rFonts w:hint="eastAsia" w:ascii="仿宋" w:hAnsi="仿宋" w:eastAsia="仿宋" w:cs="仿宋"/>
        </w:rPr>
        <w:t>反映其他财政对社会保险基金的补助支出。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七十五、社会保障和就业支出(类)退役军人管理事务(款)拥军优属(项)</w:t>
      </w:r>
      <w:r>
        <w:rPr>
          <w:rFonts w:ascii="仿宋" w:hAnsi="仿宋" w:cs="仿宋" w:eastAsia="仿宋"/>
          <w:b w:val="true"/>
        </w:rPr>
        <w:t>：</w:t>
      </w:r>
      <w:r>
        <w:rPr>
          <w:rFonts w:hint="eastAsia" w:ascii="仿宋" w:hAnsi="仿宋" w:eastAsia="仿宋" w:cs="仿宋"/>
        </w:rPr>
        <w:t>反映开展拥军优属活动的支出。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七十六、社会保障和就业支出(类)其他社会保障和就业支出(款)其他社会保障和就业支出(项)</w:t>
      </w:r>
      <w:r>
        <w:rPr>
          <w:rFonts w:ascii="仿宋" w:hAnsi="仿宋" w:cs="仿宋" w:eastAsia="仿宋"/>
          <w:b w:val="true"/>
        </w:rPr>
        <w:t>：</w:t>
      </w:r>
      <w:r>
        <w:rPr>
          <w:rFonts w:hint="eastAsia" w:ascii="仿宋" w:hAnsi="仿宋" w:eastAsia="仿宋" w:cs="仿宋"/>
        </w:rPr>
        <w:t>反映除上述项目以外其他用于社会保障和就业方面的支出。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七十七、卫生健康支出(类)基层医疗卫生机构(款)其他基层医疗卫生机构支出(项)</w:t>
      </w:r>
      <w:r>
        <w:rPr>
          <w:rFonts w:ascii="仿宋" w:hAnsi="仿宋" w:cs="仿宋" w:eastAsia="仿宋"/>
          <w:b w:val="true"/>
        </w:rPr>
        <w:t>：</w:t>
      </w:r>
      <w:r>
        <w:rPr>
          <w:rFonts w:hint="eastAsia" w:ascii="仿宋" w:hAnsi="仿宋" w:eastAsia="仿宋" w:cs="仿宋"/>
        </w:rPr>
        <w:t>反映除上述项目以外的其他用于基层医疗卫生机构的支出。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七十八、卫生健康支出(类)公共卫生(款)基本公共卫生服务(项)</w:t>
      </w:r>
      <w:r>
        <w:rPr>
          <w:rFonts w:ascii="仿宋" w:hAnsi="仿宋" w:cs="仿宋" w:eastAsia="仿宋"/>
          <w:b w:val="true"/>
        </w:rPr>
        <w:t>：</w:t>
      </w:r>
      <w:r>
        <w:rPr>
          <w:rFonts w:hint="eastAsia" w:ascii="仿宋" w:hAnsi="仿宋" w:eastAsia="仿宋" w:cs="仿宋"/>
        </w:rPr>
        <w:t>反映基本公共卫生服务支出。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七十九、卫生健康支出(类)公共卫生(款)重大公共卫生服务(项)</w:t>
      </w:r>
      <w:r>
        <w:rPr>
          <w:rFonts w:ascii="仿宋" w:hAnsi="仿宋" w:cs="仿宋" w:eastAsia="仿宋"/>
          <w:b w:val="true"/>
        </w:rPr>
        <w:t>：</w:t>
      </w:r>
      <w:r>
        <w:rPr>
          <w:rFonts w:hint="eastAsia" w:ascii="仿宋" w:hAnsi="仿宋" w:eastAsia="仿宋" w:cs="仿宋"/>
        </w:rPr>
        <w:t>反映重大疾病、重大传染病预防控制等重大公共卫生服务项目支出。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八十、卫生健康支出(类)公共卫生(款)突发公共卫生事件应急处理(项)</w:t>
      </w:r>
      <w:r>
        <w:rPr>
          <w:rFonts w:ascii="仿宋" w:hAnsi="仿宋" w:cs="仿宋" w:eastAsia="仿宋"/>
          <w:b w:val="true"/>
        </w:rPr>
        <w:t>：</w:t>
      </w:r>
      <w:r>
        <w:rPr>
          <w:rFonts w:hint="eastAsia" w:ascii="仿宋" w:hAnsi="仿宋" w:eastAsia="仿宋" w:cs="仿宋"/>
        </w:rPr>
        <w:t>反映用于突发公共卫生事件应急处理的支出。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八十一、卫生健康支出(类)公共卫生(款)其他公共卫生支出(项)</w:t>
      </w:r>
      <w:r>
        <w:rPr>
          <w:rFonts w:ascii="仿宋" w:hAnsi="仿宋" w:cs="仿宋" w:eastAsia="仿宋"/>
          <w:b w:val="true"/>
        </w:rPr>
        <w:t>：</w:t>
      </w:r>
      <w:r>
        <w:rPr>
          <w:rFonts w:hint="eastAsia" w:ascii="仿宋" w:hAnsi="仿宋" w:eastAsia="仿宋" w:cs="仿宋"/>
        </w:rPr>
        <w:t>其他公共卫生支出反映除上述项目以外的其他用于公共卫生方面的支出。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八十二、卫生健康支出(类)计划生育事务(款)计划生育服务(项)</w:t>
      </w:r>
      <w:r>
        <w:rPr>
          <w:rFonts w:ascii="仿宋" w:hAnsi="仿宋" w:cs="仿宋" w:eastAsia="仿宋"/>
          <w:b w:val="true"/>
        </w:rPr>
        <w:t>：</w:t>
      </w:r>
      <w:r>
        <w:rPr>
          <w:rFonts w:hint="eastAsia" w:ascii="仿宋" w:hAnsi="仿宋" w:eastAsia="仿宋" w:cs="仿宋"/>
        </w:rPr>
        <w:t>反映计划生育服务支出。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八十三、卫生健康支出(类)计划生育事务(款)其他计划生育事务支出(项)</w:t>
      </w:r>
      <w:r>
        <w:rPr>
          <w:rFonts w:ascii="仿宋" w:hAnsi="仿宋" w:cs="仿宋" w:eastAsia="仿宋"/>
          <w:b w:val="true"/>
        </w:rPr>
        <w:t>：</w:t>
      </w:r>
      <w:r>
        <w:rPr>
          <w:rFonts w:hint="eastAsia" w:ascii="仿宋" w:hAnsi="仿宋" w:eastAsia="仿宋" w:cs="仿宋"/>
        </w:rPr>
        <w:t>反映除上述项目以外其他用于计划生育管理事务方面的支出。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八十四、卫生健康支出(类)行政事业单位医疗(款)行政单位医疗(项)</w:t>
      </w:r>
      <w:r>
        <w:rPr>
          <w:rFonts w:ascii="仿宋" w:hAnsi="仿宋" w:cs="仿宋" w:eastAsia="仿宋"/>
          <w:b w:val="true"/>
        </w:rPr>
        <w:t>：</w:t>
      </w:r>
      <w:r>
        <w:rPr>
          <w:rFonts w:hint="eastAsia" w:ascii="仿宋" w:hAnsi="仿宋" w:eastAsia="仿宋" w:cs="仿宋"/>
        </w:rPr>
        <w:t>反映财政部门安排的行政单位（包括实行公务员管理的事业单位，下同）基本医疗保险缴费经费，未参加医疗保险的行政单位的公费医疗经费，按国家规定享受离休人员、红军老战士待遇人员的医疗经费。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八十五、卫生健康支出(类)行政事业单位医疗(款)公务员医疗补助(项)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八十六、卫生健康支出(类)医疗救助(款)其他医疗救助支出(项)</w:t>
      </w:r>
      <w:r>
        <w:rPr>
          <w:rFonts w:ascii="仿宋" w:hAnsi="仿宋" w:cs="仿宋" w:eastAsia="仿宋"/>
          <w:b w:val="true"/>
        </w:rPr>
        <w:t>：</w:t>
      </w:r>
      <w:r>
        <w:rPr>
          <w:rFonts w:hint="eastAsia" w:ascii="仿宋" w:hAnsi="仿宋" w:eastAsia="仿宋" w:cs="仿宋"/>
        </w:rPr>
        <w:t>反映除上述项目以外的其他用于医疗救助方面的支出。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八十七、卫生健康支出(类)优抚对象医疗(款)优抚对象医疗补助(项)</w:t>
      </w:r>
      <w:r>
        <w:rPr>
          <w:rFonts w:ascii="仿宋" w:hAnsi="仿宋" w:cs="仿宋" w:eastAsia="仿宋"/>
          <w:b w:val="true"/>
        </w:rPr>
        <w:t>：</w:t>
      </w:r>
      <w:r>
        <w:rPr>
          <w:rFonts w:hint="eastAsia" w:ascii="仿宋" w:hAnsi="仿宋" w:eastAsia="仿宋" w:cs="仿宋"/>
        </w:rPr>
        <w:t>反映按规定补助优抚对象的医疗经费。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八十八、卫生健康支出(类)其他卫生健康支出(款)其他卫生健康支出(项)</w:t>
      </w:r>
      <w:r>
        <w:rPr>
          <w:rFonts w:ascii="仿宋" w:hAnsi="仿宋" w:cs="仿宋" w:eastAsia="仿宋"/>
          <w:b w:val="true"/>
        </w:rPr>
        <w:t>：</w:t>
      </w:r>
      <w:r>
        <w:rPr>
          <w:rFonts w:hint="eastAsia" w:ascii="仿宋" w:hAnsi="仿宋" w:eastAsia="仿宋" w:cs="仿宋"/>
        </w:rPr>
        <w:t>反映除上述项目以外其他用于卫生健康方面的支出。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八十九、节能环保支出(类)污染防治(款)水体(项)</w:t>
      </w:r>
      <w:r>
        <w:rPr>
          <w:rFonts w:ascii="仿宋" w:hAnsi="仿宋" w:cs="仿宋" w:eastAsia="仿宋"/>
          <w:b w:val="true"/>
        </w:rPr>
        <w:t>：</w:t>
      </w:r>
      <w:r>
        <w:rPr>
          <w:rFonts w:hint="eastAsia" w:ascii="仿宋" w:hAnsi="仿宋" w:eastAsia="仿宋" w:cs="仿宋"/>
        </w:rPr>
        <w:t>反映政府在排水、污水处理、水污染防治、湖库生态环境保护、水源地保护、国土江河综合整治、河流治理与保护、地下水修复与保护等方面的支出。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九十、节能环保支出(类)污染防治(款)其他污染防治支出(项)</w:t>
      </w:r>
      <w:r>
        <w:rPr>
          <w:rFonts w:ascii="仿宋" w:hAnsi="仿宋" w:cs="仿宋" w:eastAsia="仿宋"/>
          <w:b w:val="true"/>
        </w:rPr>
        <w:t>：</w:t>
      </w:r>
      <w:r>
        <w:rPr>
          <w:rFonts w:hint="eastAsia" w:ascii="仿宋" w:hAnsi="仿宋" w:eastAsia="仿宋" w:cs="仿宋"/>
        </w:rPr>
        <w:t>反映除上述项目以外其他用于污染防治方面的支出。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九十一、城乡社区支出(类)城乡社区管理事务(款)行政运行(项)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九十二、城乡社区支出(类)城乡社区管理事务(款)城管执法(项)</w:t>
      </w:r>
      <w:r>
        <w:rPr>
          <w:rFonts w:ascii="仿宋" w:hAnsi="仿宋" w:cs="仿宋" w:eastAsia="仿宋"/>
          <w:b w:val="true"/>
        </w:rPr>
        <w:t>：</w:t>
      </w:r>
      <w:r>
        <w:rPr>
          <w:rFonts w:hint="eastAsia" w:ascii="仿宋" w:hAnsi="仿宋" w:eastAsia="仿宋" w:cs="仿宋"/>
        </w:rPr>
        <w:t>反映城市管理综合行政执法、加强城市市容和环境卫生管理等方面的支出。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九十三、城乡社区支出(类)城乡社区管理事务(款)其他城乡社区管理事务支出(项)</w:t>
      </w:r>
      <w:r>
        <w:rPr>
          <w:rFonts w:ascii="仿宋" w:hAnsi="仿宋" w:cs="仿宋" w:eastAsia="仿宋"/>
          <w:b w:val="true"/>
        </w:rPr>
        <w:t>：</w:t>
      </w:r>
      <w:r>
        <w:rPr>
          <w:rFonts w:hint="eastAsia" w:ascii="仿宋" w:hAnsi="仿宋" w:eastAsia="仿宋" w:cs="仿宋"/>
        </w:rPr>
        <w:t>反映除上述项目以外其他用于城乡社区管理事务方面的支出。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九十四、城乡社区支出(类)城乡社区规划与管理(款)城乡社区规划与管理(项)</w:t>
      </w:r>
      <w:r>
        <w:rPr>
          <w:rFonts w:ascii="仿宋" w:hAnsi="仿宋" w:cs="仿宋" w:eastAsia="仿宋"/>
          <w:b w:val="true"/>
        </w:rPr>
        <w:t>：</w:t>
      </w:r>
      <w:r>
        <w:rPr>
          <w:rFonts w:hint="eastAsia" w:ascii="仿宋" w:hAnsi="仿宋" w:eastAsia="仿宋" w:cs="仿宋"/>
        </w:rPr>
        <w:t>反映城乡社区、名胜风景区、防灾减灾、历史名城规划制定与管理等方面的支出。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九十五、城乡社区支出(类)城乡社区公共设施(款)小城镇基础设施建设(项)</w:t>
      </w:r>
      <w:r>
        <w:rPr>
          <w:rFonts w:ascii="仿宋" w:hAnsi="仿宋" w:cs="仿宋" w:eastAsia="仿宋"/>
          <w:b w:val="true"/>
        </w:rPr>
        <w:t>：</w:t>
      </w:r>
      <w:r>
        <w:rPr>
          <w:rFonts w:hint="eastAsia" w:ascii="仿宋" w:hAnsi="仿宋" w:eastAsia="仿宋" w:cs="仿宋"/>
        </w:rPr>
        <w:t>反映用于小城镇路、气、水、电等基础建设方面的支出。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九十六、城乡社区支出(类)城乡社区公共设施(款)其他城乡社区公共设施支出(项)</w:t>
      </w:r>
      <w:r>
        <w:rPr>
          <w:rFonts w:ascii="仿宋" w:hAnsi="仿宋" w:cs="仿宋" w:eastAsia="仿宋"/>
          <w:b w:val="true"/>
        </w:rPr>
        <w:t>：</w:t>
      </w:r>
      <w:r>
        <w:rPr>
          <w:rFonts w:hint="eastAsia" w:ascii="仿宋" w:hAnsi="仿宋" w:eastAsia="仿宋" w:cs="仿宋"/>
        </w:rPr>
        <w:t>反映除上述项目以外其他用于城乡社区公共设施方面的支出。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九十七、城乡社区支出(类)城乡社区环境卫生(款)城乡社区环境卫生(项)</w:t>
      </w:r>
      <w:r>
        <w:rPr>
          <w:rFonts w:ascii="仿宋" w:hAnsi="仿宋" w:cs="仿宋" w:eastAsia="仿宋"/>
          <w:b w:val="true"/>
        </w:rPr>
        <w:t>：</w:t>
      </w:r>
      <w:r>
        <w:rPr>
          <w:rFonts w:hint="eastAsia" w:ascii="仿宋" w:hAnsi="仿宋" w:eastAsia="仿宋" w:cs="仿宋"/>
        </w:rPr>
        <w:t>反映城乡社区道路清扫、垃圾清运与处理、公厕建设与维护、园林绿化等方面的支出。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九十八、城乡社区支出(类)国有土地使用权出让收入安排的支出(款)城市建设支出(项)</w:t>
      </w:r>
      <w:r>
        <w:rPr>
          <w:rFonts w:ascii="仿宋" w:hAnsi="仿宋" w:cs="仿宋" w:eastAsia="仿宋"/>
          <w:b w:val="true"/>
        </w:rPr>
        <w:t>：</w:t>
      </w:r>
      <w:r>
        <w:rPr>
          <w:rFonts w:hint="eastAsia" w:ascii="仿宋" w:hAnsi="仿宋" w:eastAsia="仿宋" w:cs="仿宋"/>
        </w:rPr>
        <w:t>反映土地出让收入用于完善国有土地使用功能的配套设施建设和城市基础设施建设支出。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九十九、城乡社区支出(类)国有土地使用权出让收入安排的支出(款)农村基础设施建设支出(项)</w:t>
      </w:r>
      <w:r>
        <w:rPr>
          <w:rFonts w:ascii="仿宋" w:hAnsi="仿宋" w:cs="仿宋" w:eastAsia="仿宋"/>
          <w:b w:val="true"/>
        </w:rPr>
        <w:t>：</w:t>
      </w:r>
      <w:r>
        <w:rPr>
          <w:rFonts w:hint="eastAsia" w:ascii="仿宋" w:hAnsi="仿宋" w:eastAsia="仿宋" w:cs="仿宋"/>
        </w:rPr>
        <w:t>反映土地出让收入用于农村饮水、环境、卫生、教育以及文化等基础设施建设支出。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一百、城乡社区支出(类)其他城乡社区支出(款)其他城乡社区支出(项)</w:t>
      </w:r>
      <w:r>
        <w:rPr>
          <w:rFonts w:ascii="仿宋" w:hAnsi="仿宋" w:cs="仿宋" w:eastAsia="仿宋"/>
          <w:b w:val="true"/>
        </w:rPr>
        <w:t>：</w:t>
      </w:r>
      <w:r>
        <w:rPr>
          <w:rFonts w:hint="eastAsia" w:ascii="仿宋" w:hAnsi="仿宋" w:eastAsia="仿宋" w:cs="仿宋"/>
        </w:rPr>
        <w:t>反映除上述项目以外其他用于城乡社区方面的支出。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一百零一、农林水支出(类)农业农村(款)事业运行(项)</w:t>
      </w:r>
      <w:r>
        <w:rPr>
          <w:rFonts w:ascii="仿宋" w:hAnsi="仿宋" w:cs="仿宋" w:eastAsia="仿宋"/>
          <w:b w:val="true"/>
        </w:rPr>
        <w:t>：</w:t>
      </w:r>
      <w:r>
        <w:rPr>
          <w:rFonts w:hint="eastAsia" w:ascii="仿宋" w:hAnsi="仿宋" w:eastAsia="仿宋" w:cs="仿宋"/>
        </w:rPr>
        <w:t>反映用于农业事业单位基本支出，事业单位设施、系统运行与资产维护等方面的支出。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一百零二、农林水支出(类)农业农村(款)对高校毕业生到基层任职补助(项)</w:t>
      </w:r>
      <w:r>
        <w:rPr>
          <w:rFonts w:ascii="仿宋" w:hAnsi="仿宋" w:cs="仿宋" w:eastAsia="仿宋"/>
          <w:b w:val="true"/>
        </w:rPr>
        <w:t>：</w:t>
      </w:r>
      <w:r>
        <w:rPr>
          <w:rFonts w:hint="eastAsia" w:ascii="仿宋" w:hAnsi="仿宋" w:eastAsia="仿宋" w:cs="仿宋"/>
        </w:rPr>
        <w:t>反映按规定对高校毕业生到基层任职的补助支出。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一百零三、农林水支出(类)农业农村(款)其他农业农村支出(项)</w:t>
      </w:r>
      <w:r>
        <w:rPr>
          <w:rFonts w:ascii="仿宋" w:hAnsi="仿宋" w:cs="仿宋" w:eastAsia="仿宋"/>
          <w:b w:val="true"/>
        </w:rPr>
        <w:t>：</w:t>
      </w:r>
      <w:r>
        <w:rPr>
          <w:rFonts w:hint="eastAsia" w:ascii="仿宋" w:hAnsi="仿宋" w:eastAsia="仿宋" w:cs="仿宋"/>
        </w:rPr>
        <w:t>反映除上述项目以外其他用于农业农村方面的支出。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一百零四、农林水支出(类)林业和草原(款)森林资源培育(项)</w:t>
      </w:r>
      <w:r>
        <w:rPr>
          <w:rFonts w:ascii="仿宋" w:hAnsi="仿宋" w:cs="仿宋" w:eastAsia="仿宋"/>
          <w:b w:val="true"/>
        </w:rPr>
        <w:t>：</w:t>
      </w:r>
      <w:r>
        <w:rPr>
          <w:rFonts w:hint="eastAsia" w:ascii="仿宋" w:hAnsi="仿宋" w:eastAsia="仿宋" w:cs="仿宋"/>
        </w:rPr>
        <w:t>反映育苗（种）、造林、抚育、退化林修复、义务植树以及生物质能源建设等方面的支出。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一百零五、农林水支出(类)林业和草原(款)林业草原防灾减灾(项)</w:t>
      </w:r>
      <w:r>
        <w:rPr>
          <w:rFonts w:ascii="仿宋" w:hAnsi="仿宋" w:cs="仿宋" w:eastAsia="仿宋"/>
          <w:b w:val="true"/>
        </w:rPr>
        <w:t>：</w:t>
      </w:r>
      <w:r>
        <w:rPr>
          <w:rFonts w:hint="eastAsia" w:ascii="仿宋" w:hAnsi="仿宋" w:eastAsia="仿宋" w:cs="仿宋"/>
        </w:rPr>
        <w:t>反映病虫害等有害生物灾害、野生动物疫病灾害等方面的支出。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一百零六、农林水支出(类)林业和草原(款)其他林业和草原支出(项)</w:t>
      </w:r>
      <w:r>
        <w:rPr>
          <w:rFonts w:ascii="仿宋" w:hAnsi="仿宋" w:cs="仿宋" w:eastAsia="仿宋"/>
          <w:b w:val="true"/>
        </w:rPr>
        <w:t>：</w:t>
      </w:r>
      <w:r>
        <w:rPr>
          <w:rFonts w:hint="eastAsia" w:ascii="仿宋" w:hAnsi="仿宋" w:eastAsia="仿宋" w:cs="仿宋"/>
        </w:rPr>
        <w:t>反映除上述项目以外其他用于林业和草原方面的支出。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一百零七、农林水支出(类)水利(款)水利工程运行与维护(项)</w:t>
      </w:r>
      <w:r>
        <w:rPr>
          <w:rFonts w:ascii="仿宋" w:hAnsi="仿宋" w:cs="仿宋" w:eastAsia="仿宋"/>
          <w:b w:val="true"/>
        </w:rPr>
        <w:t>：</w:t>
      </w:r>
      <w:r>
        <w:rPr>
          <w:rFonts w:hint="eastAsia" w:ascii="仿宋" w:hAnsi="仿宋" w:eastAsia="仿宋" w:cs="仿宋"/>
        </w:rPr>
        <w:t>反映水利系统用于江、河、湖、滩等治理工程运行与维护方面的支出，以及纳入预算管理的水利工程管理单位的支出。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一百零八、农林水支出(类)水利(款)防汛(项)</w:t>
      </w:r>
      <w:r>
        <w:rPr>
          <w:rFonts w:ascii="仿宋" w:hAnsi="仿宋" w:cs="仿宋" w:eastAsia="仿宋"/>
          <w:b w:val="true"/>
        </w:rPr>
        <w:t>：</w:t>
      </w:r>
      <w:r>
        <w:rPr>
          <w:rFonts w:hint="eastAsia" w:ascii="仿宋" w:hAnsi="仿宋" w:eastAsia="仿宋" w:cs="仿宋"/>
        </w:rPr>
        <w:t>反映防汛业务支出。有关事项包括防汛物资购置管护，防汛通信设施设备、网络系统、车船设备运行维护，防汛值班、水情报汛、防汛指挥系统运行维护、水毁修复以及防汛组织(如防汛预案编制、检查、演习、宣传、会议等)，汛期调用民工及劳动保护，水利设施灾后重建，退田还湖，蓄滞洪区补偿、水情、雨情、决策支持，防汛视频会商，应急度汛，山洪灾害防治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一百零九、农林水支出(类)农村综合改革(款)对村集体经济组织的补助(项)</w:t>
      </w:r>
      <w:r>
        <w:rPr>
          <w:rFonts w:ascii="仿宋" w:hAnsi="仿宋" w:cs="仿宋" w:eastAsia="仿宋"/>
          <w:b w:val="true"/>
        </w:rPr>
        <w:t>：</w:t>
      </w:r>
      <w:r>
        <w:rPr>
          <w:rFonts w:hint="eastAsia" w:ascii="仿宋" w:hAnsi="仿宋" w:eastAsia="仿宋" w:cs="仿宋"/>
        </w:rPr>
        <w:t>反映农村税费改革后对村集体经济组织的补助支出。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一百一十、农林水支出(类)其他农林水支出(款)其他农林水支出(项)</w:t>
      </w:r>
      <w:r>
        <w:rPr>
          <w:rFonts w:ascii="仿宋" w:hAnsi="仿宋" w:cs="仿宋" w:eastAsia="仿宋"/>
          <w:b w:val="true"/>
        </w:rPr>
        <w:t>：</w:t>
      </w:r>
      <w:r>
        <w:rPr>
          <w:rFonts w:hint="eastAsia" w:ascii="仿宋" w:hAnsi="仿宋" w:eastAsia="仿宋" w:cs="仿宋"/>
        </w:rPr>
        <w:t>反映除化解债务支出以外其他用于农林水方面的支出。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一百一十一、交通运输支出(类)公路水路运输(款)公路养护(项)</w:t>
      </w:r>
      <w:r>
        <w:rPr>
          <w:rFonts w:ascii="仿宋" w:hAnsi="仿宋" w:cs="仿宋" w:eastAsia="仿宋"/>
          <w:b w:val="true"/>
        </w:rPr>
        <w:t>：</w:t>
      </w:r>
      <w:r>
        <w:rPr>
          <w:rFonts w:hint="eastAsia" w:ascii="仿宋" w:hAnsi="仿宋" w:eastAsia="仿宋" w:cs="仿宋"/>
        </w:rPr>
        <w:t>反映公路养护支出。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一百一十二、资源勘探工业信息等支出(类)工业和信息产业监管(款)其他工业和信息产业监管支出(项)</w:t>
      </w:r>
      <w:r>
        <w:rPr>
          <w:rFonts w:ascii="仿宋" w:hAnsi="仿宋" w:cs="仿宋" w:eastAsia="仿宋"/>
          <w:b w:val="true"/>
        </w:rPr>
        <w:t>：</w:t>
      </w:r>
      <w:r>
        <w:rPr>
          <w:rFonts w:hint="eastAsia" w:ascii="仿宋" w:hAnsi="仿宋" w:eastAsia="仿宋" w:cs="仿宋"/>
        </w:rPr>
        <w:t>反映除上述项目以外其他用于工业和信息产业监管方面的支出。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一百一十三、资源勘探工业信息等支出(类)支持中小企业发展和管理支出(款)其他支持中小企业发展和管理支出(项)</w:t>
      </w:r>
      <w:r>
        <w:rPr>
          <w:rFonts w:ascii="仿宋" w:hAnsi="仿宋" w:cs="仿宋" w:eastAsia="仿宋"/>
          <w:b w:val="true"/>
        </w:rPr>
        <w:t>：</w:t>
      </w:r>
      <w:r>
        <w:rPr>
          <w:rFonts w:hint="eastAsia" w:ascii="仿宋" w:hAnsi="仿宋" w:eastAsia="仿宋" w:cs="仿宋"/>
        </w:rPr>
        <w:t>反映除上述项目以外其他用于支持中小企业发展和管理方面的支出。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一百一十四、资源勘探工业信息等支出(类)其他资源勘探工业信息等支出(款)其他资源勘探工业信息等支出(项)</w:t>
      </w:r>
      <w:r>
        <w:rPr>
          <w:rFonts w:ascii="仿宋" w:hAnsi="仿宋" w:cs="仿宋" w:eastAsia="仿宋"/>
          <w:b w:val="true"/>
        </w:rPr>
        <w:t>：</w:t>
      </w:r>
      <w:r>
        <w:rPr>
          <w:rFonts w:hint="eastAsia" w:ascii="仿宋" w:hAnsi="仿宋" w:eastAsia="仿宋" w:cs="仿宋"/>
        </w:rPr>
        <w:t>反映除上述项目以外其他用于资源勘探工业信息等方面的支出。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一百一十五、商业服务业等支出(类)其他商业服务业等支出(款)其他商业服务业等支出(项)</w:t>
      </w:r>
      <w:r>
        <w:rPr>
          <w:rFonts w:ascii="仿宋" w:hAnsi="仿宋" w:cs="仿宋" w:eastAsia="仿宋"/>
          <w:b w:val="true"/>
        </w:rPr>
        <w:t>：</w:t>
      </w:r>
      <w:r>
        <w:rPr>
          <w:rFonts w:hint="eastAsia" w:ascii="仿宋" w:hAnsi="仿宋" w:eastAsia="仿宋" w:cs="仿宋"/>
        </w:rPr>
        <w:t>反映其他商业服务业等支出中除上述项目以外的其他支出。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一百一十六、自然资源海洋气象等支出(类)自然资源事务(款)自然资源利用与保护(项)</w:t>
      </w:r>
      <w:r>
        <w:rPr>
          <w:rFonts w:ascii="仿宋" w:hAnsi="仿宋" w:cs="仿宋" w:eastAsia="仿宋"/>
          <w:b w:val="true"/>
        </w:rPr>
        <w:t>：</w:t>
      </w:r>
      <w:r>
        <w:rPr>
          <w:rFonts w:hint="eastAsia" w:ascii="仿宋" w:hAnsi="仿宋" w:eastAsia="仿宋" w:cs="仿宋"/>
        </w:rPr>
        <w:t>反映用于自然资源有偿使用与合理开发利用，国土空间生态修复，国土整治，耕地保护等方面的支出。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一百一十七、住房保障支出(类)住房改革支出(款)住房公积金(项)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一百一十八、住房保障支出(类)城乡社区住宅(款)其他城乡社区住宅支出(项)</w:t>
      </w:r>
      <w:r>
        <w:rPr>
          <w:rFonts w:ascii="仿宋" w:hAnsi="仿宋" w:cs="仿宋" w:eastAsia="仿宋"/>
          <w:b w:val="true"/>
        </w:rPr>
        <w:t>：</w:t>
      </w:r>
      <w:r>
        <w:rPr>
          <w:rFonts w:hint="eastAsia" w:ascii="仿宋" w:hAnsi="仿宋" w:eastAsia="仿宋" w:cs="仿宋"/>
        </w:rPr>
        <w:t>反映除上述项目以外其他用于城乡社区住宅方面的支出。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一百一十九、国有资本经营预算支出(类)解决历史遗留问题及改革成本支出(款)国有企业退休人员社会化管理补助支出(项)</w:t>
      </w:r>
      <w:r>
        <w:rPr>
          <w:rFonts w:ascii="仿宋" w:hAnsi="仿宋" w:cs="仿宋" w:eastAsia="仿宋"/>
          <w:b w:val="true"/>
        </w:rPr>
        <w:t>：</w:t>
      </w:r>
      <w:r>
        <w:rPr>
          <w:rFonts w:hint="eastAsia" w:ascii="仿宋" w:hAnsi="仿宋" w:eastAsia="仿宋" w:cs="仿宋"/>
        </w:rPr>
        <w:t>反映用国有资本经营预算收入安排的支持国有企业退休人员移交社区实现社会化管理的支出。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一百二十、灾害防治及应急管理支出(类)应急管理事务(款)应急管理(项)</w:t>
      </w:r>
      <w:r>
        <w:rPr>
          <w:rFonts w:ascii="仿宋" w:hAnsi="仿宋" w:cs="仿宋" w:eastAsia="仿宋"/>
          <w:b w:val="true"/>
        </w:rPr>
        <w:t>：</w:t>
      </w:r>
      <w:r>
        <w:rPr>
          <w:rFonts w:hint="eastAsia" w:ascii="仿宋" w:hAnsi="仿宋" w:eastAsia="仿宋" w:cs="仿宋"/>
        </w:rPr>
        <w:t>反应用于应急管理的法律法规制定修订，应急预案演练、协调保障等方面的支出。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一百二十一、其他支出(类)彩票公益金安排的支出(款)用于社会福利的彩票公益金支出(项)</w:t>
      </w:r>
      <w:r>
        <w:rPr>
          <w:rFonts w:ascii="仿宋" w:hAnsi="仿宋" w:cs="仿宋" w:eastAsia="仿宋"/>
          <w:b w:val="true"/>
        </w:rPr>
        <w:t>：</w:t>
      </w:r>
      <w:r>
        <w:rPr>
          <w:rFonts w:hint="eastAsia" w:ascii="仿宋" w:hAnsi="仿宋" w:eastAsia="仿宋" w:cs="仿宋"/>
        </w:rPr>
        <w:t>反映用于社会福利和社会救助的彩票公益金支出。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一百二十二、其他支出(类)彩票公益金安排的支出(款)用于体育事业的彩票公益金支出(项)</w:t>
      </w:r>
      <w:r>
        <w:rPr>
          <w:rFonts w:ascii="仿宋" w:hAnsi="仿宋" w:cs="仿宋" w:eastAsia="仿宋"/>
          <w:b w:val="true"/>
        </w:rPr>
        <w:t>：</w:t>
      </w:r>
      <w:r>
        <w:rPr>
          <w:rFonts w:hint="eastAsia" w:ascii="仿宋" w:hAnsi="仿宋" w:eastAsia="仿宋" w:cs="仿宋"/>
        </w:rPr>
        <w:t>反映用于体育事业的彩票公益金支出。</w:t>
      </w:r>
    </w:p>
    <w:sectPr>
      <w:pgSz w:w="11906" w:h="16838"/>
      <w:pgMar w:top="1440" w:right="1080" w:bottom="1440" w:left="108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南京市雨花台区铁心桥街道办事处</w:t>
    </w:r>
    <w:r>
      <w:t>2021年度</w:t>
    </w:r>
    <w:r>
      <w:t>部门</w:t>
    </w:r>
    <w: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789"/>
    <w:rsid w:val="000F12AB"/>
    <w:rsid w:val="001C31F9"/>
    <w:rsid w:val="002E63B1"/>
    <w:rsid w:val="00407CA7"/>
    <w:rsid w:val="00413AD8"/>
    <w:rsid w:val="004C0647"/>
    <w:rsid w:val="00671ED7"/>
    <w:rsid w:val="00672164"/>
    <w:rsid w:val="006732F1"/>
    <w:rsid w:val="008322BB"/>
    <w:rsid w:val="00867423"/>
    <w:rsid w:val="008B5B05"/>
    <w:rsid w:val="009965EA"/>
    <w:rsid w:val="00A6752E"/>
    <w:rsid w:val="00B92181"/>
    <w:rsid w:val="00BD7F33"/>
    <w:rsid w:val="00C15920"/>
    <w:rsid w:val="00C82582"/>
    <w:rsid w:val="00FA3233"/>
    <w:rsid w:val="010F1E77"/>
    <w:rsid w:val="01536131"/>
    <w:rsid w:val="01657C13"/>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461F7D"/>
    <w:rsid w:val="044E689B"/>
    <w:rsid w:val="0458580D"/>
    <w:rsid w:val="045E5FB7"/>
    <w:rsid w:val="049256F0"/>
    <w:rsid w:val="0495610D"/>
    <w:rsid w:val="04C730A4"/>
    <w:rsid w:val="04DA4474"/>
    <w:rsid w:val="04DF580C"/>
    <w:rsid w:val="04E946A2"/>
    <w:rsid w:val="04EA46EB"/>
    <w:rsid w:val="05185546"/>
    <w:rsid w:val="052126A9"/>
    <w:rsid w:val="05247FC3"/>
    <w:rsid w:val="05346113"/>
    <w:rsid w:val="05423E9C"/>
    <w:rsid w:val="05600A24"/>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A6451"/>
    <w:rsid w:val="064C13A1"/>
    <w:rsid w:val="06542957"/>
    <w:rsid w:val="0681129C"/>
    <w:rsid w:val="06824DC3"/>
    <w:rsid w:val="0695552F"/>
    <w:rsid w:val="069B5E85"/>
    <w:rsid w:val="06C87B62"/>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DA70C2"/>
    <w:rsid w:val="0AFD463B"/>
    <w:rsid w:val="0B05614C"/>
    <w:rsid w:val="0B134992"/>
    <w:rsid w:val="0B160131"/>
    <w:rsid w:val="0B2B4189"/>
    <w:rsid w:val="0B392278"/>
    <w:rsid w:val="0B675A6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E7568"/>
    <w:rsid w:val="0E662847"/>
    <w:rsid w:val="0E854C8B"/>
    <w:rsid w:val="0E94230E"/>
    <w:rsid w:val="0E946F22"/>
    <w:rsid w:val="0EA37FCC"/>
    <w:rsid w:val="0EE7610B"/>
    <w:rsid w:val="0EF65551"/>
    <w:rsid w:val="0EFE25F0"/>
    <w:rsid w:val="0F135152"/>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5A4782"/>
    <w:rsid w:val="1D623037"/>
    <w:rsid w:val="1D660B43"/>
    <w:rsid w:val="1D672CB3"/>
    <w:rsid w:val="1D7C0925"/>
    <w:rsid w:val="1D817975"/>
    <w:rsid w:val="1D951979"/>
    <w:rsid w:val="1DAF110E"/>
    <w:rsid w:val="1DB61054"/>
    <w:rsid w:val="1DC835AB"/>
    <w:rsid w:val="1DC94431"/>
    <w:rsid w:val="1DD41F50"/>
    <w:rsid w:val="1DF7725D"/>
    <w:rsid w:val="1DFC3255"/>
    <w:rsid w:val="1DFD14A7"/>
    <w:rsid w:val="1E107489"/>
    <w:rsid w:val="1E120047"/>
    <w:rsid w:val="1E2456FC"/>
    <w:rsid w:val="1E387717"/>
    <w:rsid w:val="1E426EBA"/>
    <w:rsid w:val="1E5227F5"/>
    <w:rsid w:val="1E5B1486"/>
    <w:rsid w:val="1E6037E4"/>
    <w:rsid w:val="1E6C2CB1"/>
    <w:rsid w:val="1E86604F"/>
    <w:rsid w:val="1E8B2478"/>
    <w:rsid w:val="1EA55F87"/>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655593"/>
    <w:rsid w:val="23873CA0"/>
    <w:rsid w:val="23A668C2"/>
    <w:rsid w:val="23B5012E"/>
    <w:rsid w:val="23C6058D"/>
    <w:rsid w:val="23CC2CE3"/>
    <w:rsid w:val="23E97DD8"/>
    <w:rsid w:val="23F81D1C"/>
    <w:rsid w:val="24004EF0"/>
    <w:rsid w:val="242552B4"/>
    <w:rsid w:val="242D23BA"/>
    <w:rsid w:val="24361C71"/>
    <w:rsid w:val="245222E6"/>
    <w:rsid w:val="2455798C"/>
    <w:rsid w:val="246851A0"/>
    <w:rsid w:val="246E4FE1"/>
    <w:rsid w:val="247771B1"/>
    <w:rsid w:val="24797436"/>
    <w:rsid w:val="24893698"/>
    <w:rsid w:val="248A0DA1"/>
    <w:rsid w:val="248B0DC9"/>
    <w:rsid w:val="24AC7248"/>
    <w:rsid w:val="24B228BF"/>
    <w:rsid w:val="24DE364C"/>
    <w:rsid w:val="24EF440E"/>
    <w:rsid w:val="25007ACF"/>
    <w:rsid w:val="25076767"/>
    <w:rsid w:val="25191A92"/>
    <w:rsid w:val="25290357"/>
    <w:rsid w:val="253C3B25"/>
    <w:rsid w:val="25513E86"/>
    <w:rsid w:val="255F5B0A"/>
    <w:rsid w:val="25664EB1"/>
    <w:rsid w:val="257302A1"/>
    <w:rsid w:val="2573629D"/>
    <w:rsid w:val="257B7E43"/>
    <w:rsid w:val="25A7022D"/>
    <w:rsid w:val="25C32FD6"/>
    <w:rsid w:val="25C603D0"/>
    <w:rsid w:val="25E1520A"/>
    <w:rsid w:val="25E2513A"/>
    <w:rsid w:val="25F45922"/>
    <w:rsid w:val="25FD2F48"/>
    <w:rsid w:val="261E645E"/>
    <w:rsid w:val="262E21CA"/>
    <w:rsid w:val="26713F63"/>
    <w:rsid w:val="26753166"/>
    <w:rsid w:val="267B561B"/>
    <w:rsid w:val="267C5A99"/>
    <w:rsid w:val="2682148D"/>
    <w:rsid w:val="268D22B5"/>
    <w:rsid w:val="269240CC"/>
    <w:rsid w:val="269A47B4"/>
    <w:rsid w:val="269E759F"/>
    <w:rsid w:val="26A526DC"/>
    <w:rsid w:val="26A5448A"/>
    <w:rsid w:val="26BF5BA2"/>
    <w:rsid w:val="26CB1A16"/>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1B36C2"/>
    <w:rsid w:val="2B3C1AAA"/>
    <w:rsid w:val="2B77216D"/>
    <w:rsid w:val="2B7A42C1"/>
    <w:rsid w:val="2B82668D"/>
    <w:rsid w:val="2B8C19B3"/>
    <w:rsid w:val="2B9A7EB4"/>
    <w:rsid w:val="2BB8407D"/>
    <w:rsid w:val="2BBE24DE"/>
    <w:rsid w:val="2BBF0C02"/>
    <w:rsid w:val="2BDD28EB"/>
    <w:rsid w:val="2BE5357A"/>
    <w:rsid w:val="2BEC66B7"/>
    <w:rsid w:val="2BF43094"/>
    <w:rsid w:val="2BF909AA"/>
    <w:rsid w:val="2BFC0D12"/>
    <w:rsid w:val="2C016606"/>
    <w:rsid w:val="2C0757B7"/>
    <w:rsid w:val="2C153E60"/>
    <w:rsid w:val="2C1E422F"/>
    <w:rsid w:val="2C3818FC"/>
    <w:rsid w:val="2C5950A4"/>
    <w:rsid w:val="2C660130"/>
    <w:rsid w:val="2C73502A"/>
    <w:rsid w:val="2CB9711D"/>
    <w:rsid w:val="2CEA52EC"/>
    <w:rsid w:val="2CF3363A"/>
    <w:rsid w:val="2D000C25"/>
    <w:rsid w:val="2D0F4DB4"/>
    <w:rsid w:val="2D2D36A5"/>
    <w:rsid w:val="2D365B16"/>
    <w:rsid w:val="2D4B38B1"/>
    <w:rsid w:val="2D5646DC"/>
    <w:rsid w:val="2D584691"/>
    <w:rsid w:val="2D6D2070"/>
    <w:rsid w:val="2D9D0838"/>
    <w:rsid w:val="2D9E1C33"/>
    <w:rsid w:val="2DB652A4"/>
    <w:rsid w:val="2DB943B8"/>
    <w:rsid w:val="2DBB2419"/>
    <w:rsid w:val="2DBF7001"/>
    <w:rsid w:val="2DC26166"/>
    <w:rsid w:val="2DD13DB6"/>
    <w:rsid w:val="2DD903A8"/>
    <w:rsid w:val="2DEA2F76"/>
    <w:rsid w:val="2DF041FF"/>
    <w:rsid w:val="2DF76E1B"/>
    <w:rsid w:val="2DFD2DFD"/>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7BE"/>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820BF8"/>
    <w:rsid w:val="3C9A772E"/>
    <w:rsid w:val="3CB974FB"/>
    <w:rsid w:val="3CD16A6C"/>
    <w:rsid w:val="3CFF2A56"/>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ED50AE"/>
    <w:rsid w:val="45FD0891"/>
    <w:rsid w:val="46185D52"/>
    <w:rsid w:val="46192347"/>
    <w:rsid w:val="46252A99"/>
    <w:rsid w:val="462C285E"/>
    <w:rsid w:val="4639249F"/>
    <w:rsid w:val="463A0304"/>
    <w:rsid w:val="464A4975"/>
    <w:rsid w:val="465670F7"/>
    <w:rsid w:val="4665558C"/>
    <w:rsid w:val="467C2D95"/>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B2726"/>
    <w:rsid w:val="4F8B4457"/>
    <w:rsid w:val="4FA41146"/>
    <w:rsid w:val="4FA90297"/>
    <w:rsid w:val="4FD80B7D"/>
    <w:rsid w:val="4FDA01F8"/>
    <w:rsid w:val="4FE561E5"/>
    <w:rsid w:val="4FF221C3"/>
    <w:rsid w:val="4FF5172F"/>
    <w:rsid w:val="4FFA0634"/>
    <w:rsid w:val="500032A2"/>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1024103"/>
    <w:rsid w:val="51025571"/>
    <w:rsid w:val="51071719"/>
    <w:rsid w:val="510819A0"/>
    <w:rsid w:val="51200E5F"/>
    <w:rsid w:val="5123009E"/>
    <w:rsid w:val="512C2CA7"/>
    <w:rsid w:val="512D289E"/>
    <w:rsid w:val="514152FB"/>
    <w:rsid w:val="51434ED1"/>
    <w:rsid w:val="514D0397"/>
    <w:rsid w:val="51595CED"/>
    <w:rsid w:val="516445A0"/>
    <w:rsid w:val="518956A9"/>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852ECF"/>
    <w:rsid w:val="5A9C1659"/>
    <w:rsid w:val="5AA026B8"/>
    <w:rsid w:val="5AA116D7"/>
    <w:rsid w:val="5AAC7C87"/>
    <w:rsid w:val="5ADA1FF9"/>
    <w:rsid w:val="5AE821DA"/>
    <w:rsid w:val="5AED557F"/>
    <w:rsid w:val="5AF20641"/>
    <w:rsid w:val="5AFD1904"/>
    <w:rsid w:val="5B1552F3"/>
    <w:rsid w:val="5B2B4256"/>
    <w:rsid w:val="5B2C0607"/>
    <w:rsid w:val="5B3034F1"/>
    <w:rsid w:val="5B424CC5"/>
    <w:rsid w:val="5B4672E2"/>
    <w:rsid w:val="5B57504B"/>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D1281"/>
    <w:rsid w:val="63921C8F"/>
    <w:rsid w:val="63974B7F"/>
    <w:rsid w:val="639F7B81"/>
    <w:rsid w:val="63A252D2"/>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29477F"/>
    <w:rsid w:val="682F4FA9"/>
    <w:rsid w:val="68310698"/>
    <w:rsid w:val="68323C50"/>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423186"/>
    <w:rsid w:val="69432BE1"/>
    <w:rsid w:val="694D728A"/>
    <w:rsid w:val="69594684"/>
    <w:rsid w:val="6988057F"/>
    <w:rsid w:val="699906A2"/>
    <w:rsid w:val="69A973BA"/>
    <w:rsid w:val="69AC12C2"/>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456F6D"/>
    <w:rsid w:val="7A5F16CA"/>
    <w:rsid w:val="7A710D8E"/>
    <w:rsid w:val="7AAA2F92"/>
    <w:rsid w:val="7AB1300F"/>
    <w:rsid w:val="7AB64E52"/>
    <w:rsid w:val="7ADA0EA4"/>
    <w:rsid w:val="7AE75FBC"/>
    <w:rsid w:val="7AFC56D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A73F44"/>
    <w:rsid w:val="7FAD2052"/>
    <w:rsid w:val="7FB0411E"/>
    <w:rsid w:val="7FCA5021"/>
    <w:rsid w:val="7FEA3B6F"/>
    <w:rsid w:val="7FEE5147"/>
    <w:rsid w:val="7FF32CE5"/>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theme/theme1.xml" Type="http://schemas.openxmlformats.org/officeDocument/2006/relationships/theme"/><Relationship Id="rId2" Target="settings.xml" Type="http://schemas.openxmlformats.org/officeDocument/2006/relationships/settings"/><Relationship Id="rId20" Target="../customXml/item1.xml" Type="http://schemas.openxmlformats.org/officeDocument/2006/relationships/customXml"/><Relationship Id="rId21" Target="fontTable.xml" Type="http://schemas.openxmlformats.org/officeDocument/2006/relationships/fontTable"/><Relationship Id="rId22" Target="media/image1.jpeg" Type="http://schemas.openxmlformats.org/officeDocument/2006/relationships/image"/><Relationship Id="rId23"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2754</Words>
  <Characters>7511</Characters>
  <Paragraphs>501</Paragraphs>
  <TotalTime>0</TotalTime>
  <ScaleCrop>false</ScaleCrop>
  <LinksUpToDate>false</LinksUpToDate>
  <CharactersWithSpaces>7532</CharactersWithSpaces>
  <Application>WPS Office_11.1.0.11875_F1E327BC-269C-435d-A152-05C5408002CA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2022-07-29T09:20:09Z</dcterms:modified>
  <cp:revision>175</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2052-11.1.0.11875</vt:lpwstr>
  </property>
  <property fmtid="{D5CDD505-2E9C-101B-9397-08002B2CF9AE}" pid="6" name="LastSaved">
    <vt:filetime>2021-04-15T00:00:00Z</vt:filetime>
  </property>
</Properties>
</file>