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雨花台区2023年法治政府建设工作计划</w:t>
      </w:r>
    </w:p>
    <w:p>
      <w:pPr>
        <w:spacing w:line="560" w:lineRule="exact"/>
        <w:ind w:firstLine="640" w:firstLineChars="200"/>
        <w:rPr>
          <w:rFonts w:ascii="Times New Roman" w:hAnsi="Times New Roman" w:eastAsia="楷体_GB2312"/>
          <w:sz w:val="32"/>
          <w:szCs w:val="32"/>
        </w:rPr>
      </w:pP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w:t>
      </w:r>
      <w:r>
        <w:rPr>
          <w:rFonts w:hint="eastAsia" w:ascii="Times New Roman" w:hAnsi="Times New Roman" w:eastAsia="仿宋_GB2312"/>
          <w:sz w:val="32"/>
          <w:szCs w:val="32"/>
        </w:rPr>
        <w:t>《南京市雨花台区法治政府建设实施方案（2021-2025年）》</w:t>
      </w:r>
      <w:r>
        <w:rPr>
          <w:rFonts w:ascii="Times New Roman" w:hAnsi="Times New Roman" w:eastAsia="仿宋_GB2312"/>
          <w:sz w:val="32"/>
          <w:szCs w:val="32"/>
        </w:rPr>
        <w:t>《南京市2023年法治政府建设工作计划》和区委、区政府关于法治</w:t>
      </w:r>
      <w:r>
        <w:rPr>
          <w:rFonts w:hint="eastAsia" w:ascii="Times New Roman" w:hAnsi="Times New Roman" w:eastAsia="仿宋_GB2312"/>
          <w:sz w:val="32"/>
          <w:szCs w:val="32"/>
        </w:rPr>
        <w:t>政府</w:t>
      </w:r>
      <w:r>
        <w:rPr>
          <w:rFonts w:ascii="Times New Roman" w:hAnsi="Times New Roman" w:eastAsia="仿宋_GB2312"/>
          <w:sz w:val="32"/>
          <w:szCs w:val="32"/>
        </w:rPr>
        <w:t>建设决策部署，现就2023年全区法治政府建设工作作出如下安排。</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一、指导思想</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2023年全区法治政府建设工作，坚持以习近平新时代中国特色社会主义思想为指导，全面贯彻落实党的二十大精神，深入践行习近平法治思想，坚定捍卫“两个确立”，坚决做到“两个维护”，围绕《南京市雨花台区法治政府建设实施方案（2021-2025年）》目标任务，坚持守正创新、稳中求进，扎实推进依法行政，全面推进政府各方面工作法治化，为履行“争当表率、争做示范、走在前列”光荣使命、</w:t>
      </w:r>
      <w:r>
        <w:rPr>
          <w:rFonts w:hint="eastAsia" w:ascii="Times New Roman" w:hAnsi="Times New Roman" w:eastAsia="仿宋_GB2312"/>
          <w:sz w:val="32"/>
          <w:szCs w:val="32"/>
        </w:rPr>
        <w:t>“建设新滨江、打造数字城”、</w:t>
      </w:r>
      <w:r>
        <w:rPr>
          <w:rFonts w:ascii="Times New Roman" w:hAnsi="Times New Roman" w:eastAsia="仿宋_GB2312"/>
          <w:sz w:val="32"/>
          <w:szCs w:val="32"/>
        </w:rPr>
        <w:t>全面建设人民满意的社会主义现代化典范城市提供有力法治保障。</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二、重点工作及责任分工</w:t>
      </w:r>
    </w:p>
    <w:p>
      <w:pPr>
        <w:spacing w:line="560" w:lineRule="exact"/>
        <w:ind w:firstLine="640" w:firstLineChars="200"/>
        <w:rPr>
          <w:rFonts w:ascii="Times New Roman" w:hAnsi="Times New Roman" w:eastAsia="仿宋_GB2312"/>
          <w:sz w:val="32"/>
          <w:szCs w:val="32"/>
        </w:rPr>
      </w:pPr>
      <w:r>
        <w:rPr>
          <w:rFonts w:ascii="Times New Roman" w:hAnsi="Times New Roman" w:eastAsia="楷体_GB2312"/>
          <w:sz w:val="32"/>
          <w:szCs w:val="32"/>
        </w:rPr>
        <w:t>（一）依法全面履行政府职能，护航经济运行率先整体好转</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强化政府协同高效依法履职。落实新一轮党和国家机构改革任务，健全完善政府机构职能体系。优化完善权责清单管理体系，开展权责清单执行情况评估。（区委编办</w:t>
      </w:r>
      <w:r>
        <w:rPr>
          <w:rFonts w:hint="eastAsia" w:ascii="Times New Roman" w:hAnsi="Times New Roman" w:eastAsia="仿宋_GB2312"/>
          <w:sz w:val="32"/>
          <w:szCs w:val="32"/>
        </w:rPr>
        <w:t>牵头，区政府相关部门配合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加快建设服务型政府。深化“一件事一次办”改革，加快推进“一网通办”。全面推行行政审批服务“马上办、网上办、就近办、一次办、自助办”。</w:t>
      </w:r>
      <w:r>
        <w:rPr>
          <w:rFonts w:hint="eastAsia" w:ascii="Times New Roman" w:hAnsi="Times New Roman" w:eastAsia="仿宋_GB2312"/>
          <w:sz w:val="32"/>
          <w:szCs w:val="32"/>
        </w:rPr>
        <w:t>编制公布行政许可事项清单（2023版），</w:t>
      </w:r>
      <w:r>
        <w:rPr>
          <w:rFonts w:ascii="Times New Roman" w:hAnsi="Times New Roman" w:eastAsia="仿宋_GB2312"/>
          <w:sz w:val="32"/>
          <w:szCs w:val="32"/>
        </w:rPr>
        <w:t>做好新的行政许可事项清单运行前各项准备工作。提升12345热线服务水平。持续开展全区重大项目帮办代办服务，推进重大项目涉建审批“绿色通道”服务。（</w:t>
      </w:r>
      <w:r>
        <w:rPr>
          <w:rFonts w:hint="eastAsia" w:ascii="Times New Roman" w:hAnsi="Times New Roman" w:eastAsia="仿宋_GB2312"/>
          <w:sz w:val="32"/>
          <w:szCs w:val="32"/>
        </w:rPr>
        <w:t>区行政审批局牵头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w:t>
      </w:r>
      <w:r>
        <w:rPr>
          <w:rFonts w:hint="eastAsia" w:ascii="Times New Roman" w:hAnsi="Times New Roman" w:eastAsia="仿宋_GB2312"/>
          <w:sz w:val="32"/>
          <w:szCs w:val="32"/>
        </w:rPr>
        <w:t>其他有关</w:t>
      </w:r>
      <w:r>
        <w:rPr>
          <w:rFonts w:ascii="Times New Roman" w:hAnsi="Times New Roman" w:eastAsia="仿宋_GB2312"/>
          <w:sz w:val="32"/>
          <w:szCs w:val="32"/>
        </w:rPr>
        <w:t>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强化精准高效监管。推动行政执法监督平台与一体化综合监管平台深度融合，编制跨部门综合监管事项清单。深化部门联合“双随机、一公开”监管，探索在相关领域建立“综合研判、联合检查”工作机制，探索在相关领域运用风险监测预警、大数据分析等现代信息技术实施非现场监管，在相关领域建立健全信用分级分类监管制度。（区市场监管局、</w:t>
      </w:r>
      <w:r>
        <w:rPr>
          <w:rFonts w:hint="eastAsia" w:ascii="Times New Roman" w:hAnsi="Times New Roman" w:eastAsia="仿宋_GB2312"/>
          <w:sz w:val="32"/>
          <w:szCs w:val="32"/>
        </w:rPr>
        <w:t>区行政审批局</w:t>
      </w:r>
      <w:r>
        <w:rPr>
          <w:rFonts w:ascii="Times New Roman" w:hAnsi="Times New Roman" w:eastAsia="仿宋_GB2312"/>
          <w:sz w:val="32"/>
          <w:szCs w:val="32"/>
        </w:rPr>
        <w:t>、区发改委</w:t>
      </w:r>
      <w:r>
        <w:rPr>
          <w:rFonts w:hint="eastAsia" w:ascii="Times New Roman" w:hAnsi="Times New Roman" w:eastAsia="仿宋_GB2312"/>
          <w:sz w:val="32"/>
          <w:szCs w:val="32"/>
        </w:rPr>
        <w:t>牵头</w:t>
      </w:r>
      <w:r>
        <w:rPr>
          <w:rFonts w:ascii="Times New Roman" w:hAnsi="Times New Roman" w:eastAsia="仿宋_GB2312"/>
          <w:sz w:val="32"/>
          <w:szCs w:val="32"/>
        </w:rPr>
        <w:t>，区政府</w:t>
      </w:r>
      <w:r>
        <w:rPr>
          <w:rFonts w:hint="eastAsia" w:ascii="Times New Roman" w:hAnsi="Times New Roman" w:eastAsia="仿宋_GB2312"/>
          <w:sz w:val="32"/>
          <w:szCs w:val="32"/>
        </w:rPr>
        <w:t>其他有关</w:t>
      </w:r>
      <w:r>
        <w:rPr>
          <w:rFonts w:ascii="Times New Roman" w:hAnsi="Times New Roman" w:eastAsia="仿宋_GB2312"/>
          <w:sz w:val="32"/>
          <w:szCs w:val="32"/>
        </w:rPr>
        <w:t>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优化营商环境法治保障。全面贯彻落实《南京市优化营商环境办法》《关于持续优化营商环境的实施意见》。完善公平竞争审查制度，建立公平竞争审查举报处理回应机制。加大对新兴领域、重点领域和“专精特新”企业关键领域核心技术、原始创新成果的知识产权保护力度。深化“法企同行”活动，开辟涉企法律服务绿色通道。</w:t>
      </w:r>
      <w:r>
        <w:rPr>
          <w:rFonts w:hint="eastAsia" w:ascii="Times New Roman" w:hAnsi="Times New Roman" w:eastAsia="仿宋_GB2312"/>
          <w:sz w:val="32"/>
          <w:szCs w:val="32"/>
        </w:rPr>
        <w:t>制定出台区级企业行政合规指导目录。</w:t>
      </w:r>
      <w:r>
        <w:rPr>
          <w:rFonts w:ascii="Times New Roman" w:hAnsi="Times New Roman" w:eastAsia="仿宋_GB2312"/>
          <w:sz w:val="32"/>
          <w:szCs w:val="32"/>
        </w:rPr>
        <w:t>推进市场主体轻微违法行为免罚轻罚工作。（区发改委、区市场监管局、区司法局</w:t>
      </w:r>
      <w:r>
        <w:rPr>
          <w:rFonts w:hint="eastAsia" w:ascii="Times New Roman" w:hAnsi="Times New Roman" w:eastAsia="仿宋_GB2312"/>
          <w:sz w:val="32"/>
          <w:szCs w:val="32"/>
        </w:rPr>
        <w:t>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区政府其他有关部门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（二）优化依法行政制度体系，提升政府治理法治化水平</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积极</w:t>
      </w:r>
      <w:r>
        <w:rPr>
          <w:rFonts w:hint="eastAsia" w:ascii="Times New Roman" w:hAnsi="Times New Roman" w:eastAsia="仿宋_GB2312"/>
          <w:sz w:val="32"/>
          <w:szCs w:val="32"/>
        </w:rPr>
        <w:t>配合南京市立法工作</w:t>
      </w:r>
      <w:r>
        <w:rPr>
          <w:rFonts w:ascii="Times New Roman" w:hAnsi="Times New Roman" w:eastAsia="仿宋_GB2312"/>
          <w:sz w:val="32"/>
          <w:szCs w:val="32"/>
        </w:rPr>
        <w:t>。贯彻落实新修订的立法法，深入推进科学民主依法立法。发挥政府立法基层联系点作用，提升“法治民意直通车”应用实效。</w:t>
      </w:r>
      <w:r>
        <w:rPr>
          <w:rFonts w:hint="eastAsia" w:ascii="Times New Roman" w:hAnsi="Times New Roman" w:eastAsia="仿宋_GB2312"/>
          <w:sz w:val="32"/>
          <w:szCs w:val="32"/>
        </w:rPr>
        <w:t>为南京市制定</w:t>
      </w:r>
      <w:r>
        <w:rPr>
          <w:rFonts w:ascii="Times New Roman" w:hAnsi="Times New Roman" w:eastAsia="仿宋_GB2312"/>
          <w:sz w:val="32"/>
          <w:szCs w:val="32"/>
        </w:rPr>
        <w:t>中医药传承创新发展促进条例</w:t>
      </w:r>
      <w:r>
        <w:rPr>
          <w:rFonts w:hint="eastAsia" w:ascii="Times New Roman" w:hAnsi="Times New Roman" w:eastAsia="仿宋_GB2312"/>
          <w:sz w:val="32"/>
          <w:szCs w:val="32"/>
        </w:rPr>
        <w:t>、</w:t>
      </w:r>
      <w:r>
        <w:rPr>
          <w:rFonts w:ascii="Times New Roman" w:hAnsi="Times New Roman" w:eastAsia="仿宋_GB2312"/>
          <w:sz w:val="32"/>
          <w:szCs w:val="32"/>
        </w:rPr>
        <w:t>粮食安全保障办法</w:t>
      </w:r>
      <w:r>
        <w:rPr>
          <w:rFonts w:hint="eastAsia" w:ascii="Times New Roman" w:hAnsi="Times New Roman" w:eastAsia="仿宋_GB2312"/>
          <w:sz w:val="32"/>
          <w:szCs w:val="32"/>
        </w:rPr>
        <w:t>，</w:t>
      </w:r>
      <w:r>
        <w:rPr>
          <w:rFonts w:ascii="Times New Roman" w:hAnsi="Times New Roman" w:eastAsia="仿宋_GB2312"/>
          <w:sz w:val="32"/>
          <w:szCs w:val="32"/>
        </w:rPr>
        <w:t>修订科学技术进步条例</w:t>
      </w:r>
      <w:r>
        <w:rPr>
          <w:rFonts w:hint="eastAsia" w:ascii="Times New Roman" w:hAnsi="Times New Roman" w:eastAsia="仿宋_GB2312"/>
          <w:sz w:val="32"/>
          <w:szCs w:val="32"/>
        </w:rPr>
        <w:t>、</w:t>
      </w:r>
      <w:r>
        <w:rPr>
          <w:rFonts w:ascii="Times New Roman" w:hAnsi="Times New Roman" w:eastAsia="仿宋_GB2312"/>
          <w:sz w:val="32"/>
          <w:szCs w:val="32"/>
        </w:rPr>
        <w:t>固体废物污染环境防治条例、城镇生活垃圾处理费征收管理办法</w:t>
      </w:r>
      <w:r>
        <w:rPr>
          <w:rFonts w:hint="eastAsia" w:ascii="Times New Roman" w:hAnsi="Times New Roman" w:eastAsia="仿宋_GB2312"/>
          <w:sz w:val="32"/>
          <w:szCs w:val="32"/>
        </w:rPr>
        <w:t>、</w:t>
      </w:r>
      <w:r>
        <w:rPr>
          <w:rFonts w:ascii="Times New Roman" w:hAnsi="Times New Roman" w:eastAsia="仿宋_GB2312"/>
          <w:sz w:val="32"/>
          <w:szCs w:val="32"/>
        </w:rPr>
        <w:t>燃气管理条例</w:t>
      </w:r>
      <w:r>
        <w:rPr>
          <w:rFonts w:hint="eastAsia" w:ascii="Times New Roman" w:hAnsi="Times New Roman" w:eastAsia="仿宋_GB2312"/>
          <w:sz w:val="32"/>
          <w:szCs w:val="32"/>
        </w:rPr>
        <w:t>等立法行为提供雨花意见建议。</w:t>
      </w:r>
      <w:r>
        <w:rPr>
          <w:rFonts w:ascii="Times New Roman" w:hAnsi="Times New Roman" w:eastAsia="仿宋_GB2312"/>
          <w:sz w:val="32"/>
          <w:szCs w:val="32"/>
        </w:rPr>
        <w:t>（区卫健委、区发改委、区科技局、生态环境</w:t>
      </w:r>
      <w:r>
        <w:rPr>
          <w:rFonts w:hint="eastAsia" w:ascii="Times New Roman" w:hAnsi="Times New Roman" w:eastAsia="仿宋_GB2312"/>
          <w:sz w:val="32"/>
          <w:szCs w:val="32"/>
        </w:rPr>
        <w:t>局</w:t>
      </w:r>
      <w:r>
        <w:rPr>
          <w:rFonts w:ascii="Times New Roman" w:hAnsi="Times New Roman" w:eastAsia="仿宋_GB2312"/>
          <w:sz w:val="32"/>
          <w:szCs w:val="32"/>
        </w:rPr>
        <w:t>、区城管局、区住建局</w:t>
      </w:r>
      <w:r>
        <w:rPr>
          <w:rFonts w:hint="eastAsia" w:ascii="Times New Roman" w:hAnsi="Times New Roman" w:eastAsia="仿宋_GB2312"/>
          <w:sz w:val="32"/>
          <w:szCs w:val="32"/>
        </w:rPr>
        <w:t>牵头</w:t>
      </w:r>
      <w:r>
        <w:rPr>
          <w:rFonts w:ascii="Times New Roman" w:hAnsi="Times New Roman" w:eastAsia="仿宋_GB2312"/>
          <w:sz w:val="32"/>
          <w:szCs w:val="32"/>
        </w:rPr>
        <w:t>，区司法局</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规范备案审查工作。全面推行“合法性审查333工作体系”，加强行政规范性文件制定管理、合法性审查、档案管理、备案监督等全链条标准化规范化建设。发挥政府法律顾问和专家智囊作用，提高审查质量效率。探索建立行政规范性文件交叉互审机制，推动实现审查标准规范统一。充实完善行政规范性文件数据库，为社会公共查询提供便利。（区司法局</w:t>
      </w:r>
      <w:r>
        <w:rPr>
          <w:rFonts w:hint="eastAsia" w:ascii="Times New Roman" w:hAnsi="Times New Roman" w:eastAsia="仿宋_GB2312"/>
          <w:sz w:val="32"/>
          <w:szCs w:val="32"/>
        </w:rPr>
        <w:t>牵头，区政府其他有关部门配合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（三）落实重大行政决策程序，提升行政决策公信力执行力</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落实重大行政决策程序。强化依法决策意识，遵循依法决策程序，杜绝随意决策、盲目决策、经验决策。发挥法律顾问、公职律师在重大行政决策中的作用。（</w:t>
      </w:r>
      <w:r>
        <w:rPr>
          <w:rFonts w:hint="eastAsia" w:ascii="Times New Roman" w:hAnsi="Times New Roman" w:eastAsia="仿宋_GB2312"/>
          <w:sz w:val="32"/>
          <w:szCs w:val="32"/>
        </w:rPr>
        <w:t>区政府办、区司法局牵头，各街道（园区）、</w:t>
      </w:r>
      <w:r>
        <w:rPr>
          <w:rFonts w:ascii="Times New Roman" w:hAnsi="Times New Roman" w:eastAsia="仿宋_GB2312"/>
          <w:sz w:val="32"/>
          <w:szCs w:val="32"/>
        </w:rPr>
        <w:t>区政府</w:t>
      </w:r>
      <w:r>
        <w:rPr>
          <w:rFonts w:hint="eastAsia" w:ascii="Times New Roman" w:hAnsi="Times New Roman" w:eastAsia="仿宋_GB2312"/>
          <w:sz w:val="32"/>
          <w:szCs w:val="32"/>
        </w:rPr>
        <w:t>其他部门配合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强化</w:t>
      </w:r>
      <w:r>
        <w:rPr>
          <w:rFonts w:ascii="Times New Roman" w:hAnsi="Times New Roman" w:eastAsia="仿宋_GB2312"/>
          <w:sz w:val="32"/>
          <w:szCs w:val="32"/>
        </w:rPr>
        <w:t>重大行政决策</w:t>
      </w:r>
      <w:r>
        <w:rPr>
          <w:rFonts w:hint="eastAsia" w:ascii="Times New Roman" w:hAnsi="Times New Roman" w:eastAsia="仿宋_GB2312"/>
          <w:sz w:val="32"/>
          <w:szCs w:val="32"/>
        </w:rPr>
        <w:t>事项管理</w:t>
      </w:r>
      <w:r>
        <w:rPr>
          <w:rFonts w:ascii="Times New Roman" w:hAnsi="Times New Roman" w:eastAsia="仿宋_GB2312"/>
          <w:sz w:val="32"/>
          <w:szCs w:val="32"/>
        </w:rPr>
        <w:t>。合理确定重大行政决策事项目录，完善重大行政决策目录公开、动态管理和分类管理制度，推进重大行政决策事项目录扩容。</w:t>
      </w:r>
      <w:r>
        <w:rPr>
          <w:rFonts w:hint="eastAsia" w:ascii="Times New Roman" w:hAnsi="Times New Roman" w:eastAsia="仿宋_GB2312"/>
          <w:sz w:val="32"/>
          <w:szCs w:val="32"/>
        </w:rPr>
        <w:t>完善重大行政决策事项目录管理制度，强化对重大行政决策事项的跟踪管理。</w:t>
      </w:r>
      <w:r>
        <w:rPr>
          <w:rFonts w:ascii="Times New Roman" w:hAnsi="Times New Roman" w:eastAsia="仿宋_GB2312"/>
          <w:sz w:val="32"/>
          <w:szCs w:val="32"/>
        </w:rPr>
        <w:t>（区政府办、区司法局</w:t>
      </w:r>
      <w:r>
        <w:rPr>
          <w:rFonts w:hint="eastAsia" w:ascii="Times New Roman" w:hAnsi="Times New Roman" w:eastAsia="仿宋_GB2312"/>
          <w:sz w:val="32"/>
          <w:szCs w:val="32"/>
        </w:rPr>
        <w:t>牵头，区政府重大行政决策事项承办部门配合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加强重大行政决策执行评估反馈。完善重大行政决策</w:t>
      </w:r>
      <w:r>
        <w:rPr>
          <w:rFonts w:hint="eastAsia" w:ascii="Times New Roman" w:hAnsi="Times New Roman" w:eastAsia="仿宋_GB2312"/>
          <w:sz w:val="32"/>
          <w:szCs w:val="32"/>
        </w:rPr>
        <w:t>的后评估</w:t>
      </w:r>
      <w:r>
        <w:rPr>
          <w:rFonts w:ascii="Times New Roman" w:hAnsi="Times New Roman" w:eastAsia="仿宋_GB2312"/>
          <w:sz w:val="32"/>
          <w:szCs w:val="32"/>
        </w:rPr>
        <w:t>反馈制度，落实重大行政决策终身责任追究制度。（区政府办、区司法局</w:t>
      </w:r>
      <w:r>
        <w:rPr>
          <w:rFonts w:hint="eastAsia" w:ascii="Times New Roman" w:hAnsi="Times New Roman" w:eastAsia="仿宋_GB2312"/>
          <w:sz w:val="32"/>
          <w:szCs w:val="32"/>
        </w:rPr>
        <w:t>牵头</w:t>
      </w:r>
      <w:r>
        <w:rPr>
          <w:rFonts w:ascii="Times New Roman" w:hAnsi="Times New Roman" w:eastAsia="仿宋_GB2312"/>
          <w:sz w:val="32"/>
          <w:szCs w:val="32"/>
        </w:rPr>
        <w:t>，区政府</w:t>
      </w:r>
      <w:r>
        <w:rPr>
          <w:rFonts w:hint="eastAsia" w:ascii="Times New Roman" w:hAnsi="Times New Roman" w:eastAsia="仿宋_GB2312"/>
          <w:sz w:val="32"/>
          <w:szCs w:val="32"/>
        </w:rPr>
        <w:t>重大行政决策事项承办部门配合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（四）完善行政执法体制机制，推进严格规范公正文明执法</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深化综合行政执法体制改革。</w:t>
      </w:r>
      <w:r>
        <w:rPr>
          <w:rFonts w:hint="eastAsia" w:ascii="Times New Roman" w:hAnsi="Times New Roman" w:eastAsia="仿宋_GB2312"/>
          <w:sz w:val="32"/>
          <w:szCs w:val="32"/>
        </w:rPr>
        <w:t>进一步深化市场监管综合执法改革，区应急管理综合行政执法大队</w:t>
      </w:r>
      <w:r>
        <w:rPr>
          <w:rFonts w:ascii="Times New Roman" w:hAnsi="Times New Roman" w:eastAsia="仿宋_GB2312"/>
          <w:sz w:val="32"/>
          <w:szCs w:val="32"/>
        </w:rPr>
        <w:t>按照“三定”方案完成机构组建、人员调配、执法事项清单公示等工作。继续探索跨领域跨部门综合执法，</w:t>
      </w:r>
      <w:r>
        <w:rPr>
          <w:rFonts w:hint="eastAsia" w:ascii="Times New Roman" w:hAnsi="Times New Roman" w:eastAsia="仿宋_GB2312"/>
          <w:sz w:val="32"/>
          <w:szCs w:val="32"/>
        </w:rPr>
        <w:t>继续深化街道综合执法改革，打造街道综合行政执法办案系统。</w:t>
      </w:r>
      <w:r>
        <w:rPr>
          <w:rFonts w:ascii="Times New Roman" w:hAnsi="Times New Roman" w:eastAsia="仿宋_GB2312"/>
          <w:sz w:val="32"/>
          <w:szCs w:val="32"/>
        </w:rPr>
        <w:t>优化区、街两级监管执法协同。（区委编办、区市场监管局、区应急</w:t>
      </w:r>
      <w:r>
        <w:rPr>
          <w:rFonts w:hint="eastAsia" w:ascii="Times New Roman" w:hAnsi="Times New Roman" w:eastAsia="仿宋_GB2312"/>
          <w:sz w:val="32"/>
          <w:szCs w:val="32"/>
        </w:rPr>
        <w:t>管理</w:t>
      </w:r>
      <w:r>
        <w:rPr>
          <w:rFonts w:ascii="Times New Roman" w:hAnsi="Times New Roman" w:eastAsia="仿宋_GB2312"/>
          <w:sz w:val="32"/>
          <w:szCs w:val="32"/>
        </w:rPr>
        <w:t>局</w:t>
      </w:r>
      <w:r>
        <w:rPr>
          <w:rFonts w:hint="eastAsia" w:ascii="Times New Roman" w:hAnsi="Times New Roman" w:eastAsia="仿宋_GB2312"/>
          <w:sz w:val="32"/>
          <w:szCs w:val="32"/>
        </w:rPr>
        <w:t>、区城市数字治理中心牵头</w:t>
      </w:r>
      <w:r>
        <w:rPr>
          <w:rFonts w:ascii="Times New Roman" w:hAnsi="Times New Roman" w:eastAsia="仿宋_GB2312"/>
          <w:sz w:val="32"/>
          <w:szCs w:val="32"/>
        </w:rPr>
        <w:t>，</w:t>
      </w:r>
      <w:r>
        <w:rPr>
          <w:rFonts w:hint="eastAsia" w:ascii="Times New Roman" w:hAnsi="Times New Roman" w:eastAsia="仿宋_GB2312"/>
          <w:sz w:val="32"/>
          <w:szCs w:val="32"/>
        </w:rPr>
        <w:t>各街道、</w:t>
      </w:r>
      <w:r>
        <w:rPr>
          <w:rFonts w:ascii="Times New Roman" w:hAnsi="Times New Roman" w:eastAsia="仿宋_GB2312"/>
          <w:sz w:val="32"/>
          <w:szCs w:val="32"/>
        </w:rPr>
        <w:t>区政府其他有关部门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推进行政执法规范化标准化建设。开展道路交通安全和运输执法领域突出问题专项整治，查纠整改“逐利执法”、不规范执法、执法方式简单粗暴等执法突出问题。探索制定基层现场执法规范指引</w:t>
      </w:r>
      <w:r>
        <w:rPr>
          <w:rFonts w:hint="eastAsia" w:ascii="Times New Roman" w:hAnsi="Times New Roman" w:eastAsia="仿宋_GB2312"/>
          <w:sz w:val="32"/>
          <w:szCs w:val="32"/>
        </w:rPr>
        <w:t>，</w:t>
      </w:r>
      <w:r>
        <w:rPr>
          <w:rFonts w:ascii="Times New Roman" w:hAnsi="Times New Roman" w:eastAsia="仿宋_GB2312"/>
          <w:sz w:val="32"/>
          <w:szCs w:val="32"/>
        </w:rPr>
        <w:t>统一行政执法情形、程序、裁量基准。</w:t>
      </w:r>
      <w:r>
        <w:rPr>
          <w:rFonts w:hint="eastAsia" w:ascii="Times New Roman" w:hAnsi="Times New Roman" w:eastAsia="仿宋_GB2312"/>
          <w:sz w:val="32"/>
          <w:szCs w:val="32"/>
        </w:rPr>
        <w:t>开展街道综合</w:t>
      </w:r>
      <w:r>
        <w:rPr>
          <w:rFonts w:ascii="Times New Roman" w:hAnsi="Times New Roman" w:eastAsia="仿宋_GB2312"/>
          <w:sz w:val="32"/>
          <w:szCs w:val="32"/>
        </w:rPr>
        <w:t>行政执法标准化建设</w:t>
      </w:r>
      <w:r>
        <w:rPr>
          <w:rFonts w:hint="eastAsia" w:ascii="Times New Roman" w:hAnsi="Times New Roman" w:eastAsia="仿宋_GB2312"/>
          <w:sz w:val="32"/>
          <w:szCs w:val="32"/>
        </w:rPr>
        <w:t>。强化行政执法辅助</w:t>
      </w:r>
      <w:r>
        <w:rPr>
          <w:rFonts w:ascii="Times New Roman" w:hAnsi="Times New Roman" w:eastAsia="仿宋_GB2312"/>
          <w:sz w:val="32"/>
          <w:szCs w:val="32"/>
        </w:rPr>
        <w:t>人员</w:t>
      </w:r>
      <w:r>
        <w:rPr>
          <w:rFonts w:hint="eastAsia" w:ascii="Times New Roman" w:hAnsi="Times New Roman" w:eastAsia="仿宋_GB2312"/>
          <w:sz w:val="32"/>
          <w:szCs w:val="32"/>
        </w:rPr>
        <w:t>管理。</w:t>
      </w:r>
      <w:r>
        <w:rPr>
          <w:rFonts w:ascii="Times New Roman" w:hAnsi="Times New Roman" w:eastAsia="仿宋_GB2312"/>
          <w:sz w:val="32"/>
          <w:szCs w:val="32"/>
        </w:rPr>
        <w:t>在市场监管等与企业、群众关系密切或者执法矛盾易发领域，示范开展行政执法自由裁量基准工作，总结梳理形成可复制的模式和经验。（区委依法治区办</w:t>
      </w:r>
      <w:r>
        <w:rPr>
          <w:rFonts w:hint="eastAsia" w:ascii="Times New Roman" w:hAnsi="Times New Roman" w:eastAsia="仿宋_GB2312"/>
          <w:sz w:val="32"/>
          <w:szCs w:val="32"/>
        </w:rPr>
        <w:t>牵头</w:t>
      </w:r>
      <w:r>
        <w:rPr>
          <w:rFonts w:ascii="Times New Roman" w:hAnsi="Times New Roman" w:eastAsia="仿宋_GB2312"/>
          <w:sz w:val="32"/>
          <w:szCs w:val="32"/>
        </w:rPr>
        <w:t>，公安分局、区交通运输局、区市场监管局</w:t>
      </w:r>
      <w:r>
        <w:rPr>
          <w:rFonts w:hint="eastAsia" w:ascii="Times New Roman" w:hAnsi="Times New Roman" w:eastAsia="仿宋_GB2312"/>
          <w:sz w:val="32"/>
          <w:szCs w:val="32"/>
        </w:rPr>
        <w:t>、区司法局、区城管局、各街道配合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构建行政执法协调监督体系。加强行政执法“三项制度”落实情况监督，加强食品药品、公共卫生、生态环境、安全生产、劳动保障、野生动物保护等关系群众切身利益的重点领域的行政执法监督。开展行政执法案卷评查专项行动，抽取城市管理、生态环境</w:t>
      </w:r>
      <w:r>
        <w:rPr>
          <w:rFonts w:hint="eastAsia" w:ascii="Times New Roman" w:hAnsi="Times New Roman" w:eastAsia="仿宋_GB2312"/>
          <w:sz w:val="32"/>
          <w:szCs w:val="32"/>
        </w:rPr>
        <w:t>、安全生产</w:t>
      </w:r>
      <w:r>
        <w:rPr>
          <w:rFonts w:ascii="Times New Roman" w:hAnsi="Times New Roman" w:eastAsia="仿宋_GB2312"/>
          <w:sz w:val="32"/>
          <w:szCs w:val="32"/>
        </w:rPr>
        <w:t>领域以及执法舆情频发、矛盾集中的重点街道相关案卷进行评查。建立重大行政执法事件预防处置机制，落实行政执法责任追究制度，完善尽职免责相关规定。（区司法局</w:t>
      </w:r>
      <w:r>
        <w:rPr>
          <w:rFonts w:hint="eastAsia" w:ascii="Times New Roman" w:hAnsi="Times New Roman" w:eastAsia="仿宋_GB2312"/>
          <w:sz w:val="32"/>
          <w:szCs w:val="32"/>
        </w:rPr>
        <w:t>牵头</w:t>
      </w:r>
      <w:r>
        <w:rPr>
          <w:rFonts w:ascii="Times New Roman" w:hAnsi="Times New Roman" w:eastAsia="仿宋_GB2312"/>
          <w:sz w:val="32"/>
          <w:szCs w:val="32"/>
        </w:rPr>
        <w:t>，区市场监管局、区卫健委、生态环境局、区应急</w:t>
      </w:r>
      <w:r>
        <w:rPr>
          <w:rFonts w:hint="eastAsia" w:ascii="Times New Roman" w:hAnsi="Times New Roman" w:eastAsia="仿宋_GB2312"/>
          <w:sz w:val="32"/>
          <w:szCs w:val="32"/>
        </w:rPr>
        <w:t>管理</w:t>
      </w:r>
      <w:r>
        <w:rPr>
          <w:rFonts w:ascii="Times New Roman" w:hAnsi="Times New Roman" w:eastAsia="仿宋_GB2312"/>
          <w:sz w:val="32"/>
          <w:szCs w:val="32"/>
        </w:rPr>
        <w:t>局、区人社局、区农业农村局、区城管局</w:t>
      </w:r>
      <w:r>
        <w:rPr>
          <w:rFonts w:hint="eastAsia" w:ascii="Times New Roman" w:hAnsi="Times New Roman" w:eastAsia="仿宋_GB2312"/>
          <w:sz w:val="32"/>
          <w:szCs w:val="32"/>
        </w:rPr>
        <w:t>、各街道配合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（五）排查化解重点领域风险，依法预防处置重大突发事件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抓好重点领域风险排查化解工作。深入推进危化品、消防、燃气、建筑施工等领域安全生产专项整治。防范化解经济金融风险，防范化解大型企业债务、房地产、非法集资、产业链供应链等领域风险。加强政府性债务管理。（区应急</w:t>
      </w:r>
      <w:r>
        <w:rPr>
          <w:rFonts w:hint="eastAsia" w:ascii="Times New Roman" w:hAnsi="Times New Roman" w:eastAsia="仿宋_GB2312"/>
          <w:sz w:val="32"/>
          <w:szCs w:val="32"/>
        </w:rPr>
        <w:t>管理</w:t>
      </w:r>
      <w:r>
        <w:rPr>
          <w:rFonts w:ascii="Times New Roman" w:hAnsi="Times New Roman" w:eastAsia="仿宋_GB2312"/>
          <w:sz w:val="32"/>
          <w:szCs w:val="32"/>
        </w:rPr>
        <w:t>局、区地方金融监管局、区财政局、公安分局、区审计局、区商务局</w:t>
      </w:r>
      <w:r>
        <w:rPr>
          <w:rFonts w:hint="eastAsia" w:ascii="Times New Roman" w:hAnsi="Times New Roman" w:eastAsia="仿宋_GB2312"/>
          <w:sz w:val="32"/>
          <w:szCs w:val="32"/>
        </w:rPr>
        <w:t>牵头</w:t>
      </w:r>
      <w:r>
        <w:rPr>
          <w:rFonts w:ascii="Times New Roman" w:hAnsi="Times New Roman" w:eastAsia="仿宋_GB2312"/>
          <w:sz w:val="32"/>
          <w:szCs w:val="32"/>
        </w:rPr>
        <w:t>，区税务局、区政府其他有关部门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完善突发事件应急机制。推动区、街、社区、网格四级指挥体系建设，构建上下贯通、协同高效的应急指挥体系。开展新一轮总体和专项应急预案修编，推动完善部门和企业应急预案，制定社区应急预案编制指南。（区应急</w:t>
      </w:r>
      <w:r>
        <w:rPr>
          <w:rFonts w:hint="eastAsia" w:ascii="Times New Roman" w:hAnsi="Times New Roman" w:eastAsia="仿宋_GB2312"/>
          <w:sz w:val="32"/>
          <w:szCs w:val="32"/>
        </w:rPr>
        <w:t>管理</w:t>
      </w:r>
      <w:r>
        <w:rPr>
          <w:rFonts w:ascii="Times New Roman" w:hAnsi="Times New Roman" w:eastAsia="仿宋_GB2312"/>
          <w:sz w:val="32"/>
          <w:szCs w:val="32"/>
        </w:rPr>
        <w:t>局</w:t>
      </w:r>
      <w:r>
        <w:rPr>
          <w:rFonts w:hint="eastAsia" w:ascii="Times New Roman" w:hAnsi="Times New Roman" w:eastAsia="仿宋_GB2312"/>
          <w:sz w:val="32"/>
          <w:szCs w:val="32"/>
        </w:rPr>
        <w:t>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依法分级分类施策处置突发事件。强化应急力量建设，做好防汛抗旱和极端天气应对。加强突发事件信息公开，健全完善公共舆情应对和危机沟通机制。（区应急</w:t>
      </w:r>
      <w:r>
        <w:rPr>
          <w:rFonts w:hint="eastAsia" w:ascii="Times New Roman" w:hAnsi="Times New Roman" w:eastAsia="仿宋_GB2312"/>
          <w:sz w:val="32"/>
          <w:szCs w:val="32"/>
        </w:rPr>
        <w:t>管理</w:t>
      </w:r>
      <w:r>
        <w:rPr>
          <w:rFonts w:ascii="Times New Roman" w:hAnsi="Times New Roman" w:eastAsia="仿宋_GB2312"/>
          <w:sz w:val="32"/>
          <w:szCs w:val="32"/>
        </w:rPr>
        <w:t>局、区政府办</w:t>
      </w:r>
      <w:r>
        <w:rPr>
          <w:rFonts w:hint="eastAsia" w:ascii="Times New Roman" w:hAnsi="Times New Roman" w:eastAsia="仿宋_GB2312"/>
          <w:sz w:val="32"/>
          <w:szCs w:val="32"/>
        </w:rPr>
        <w:t>、区网信办牵头</w:t>
      </w:r>
      <w:r>
        <w:rPr>
          <w:rFonts w:ascii="Times New Roman" w:hAnsi="Times New Roman" w:eastAsia="仿宋_GB2312"/>
          <w:sz w:val="32"/>
          <w:szCs w:val="32"/>
        </w:rPr>
        <w:t>，区水务局</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（六）依法调处化解矛盾纠纷，维护社会公平正义和谐稳定</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深化行政复议体制改革。学习宣传贯彻新修订</w:t>
      </w:r>
      <w:r>
        <w:rPr>
          <w:rFonts w:hint="eastAsia" w:ascii="Times New Roman" w:hAnsi="Times New Roman" w:eastAsia="仿宋_GB2312"/>
          <w:sz w:val="32"/>
          <w:szCs w:val="32"/>
        </w:rPr>
        <w:t>的</w:t>
      </w:r>
      <w:r>
        <w:rPr>
          <w:rFonts w:ascii="Times New Roman" w:hAnsi="Times New Roman" w:eastAsia="仿宋_GB2312"/>
          <w:sz w:val="32"/>
          <w:szCs w:val="32"/>
        </w:rPr>
        <w:t>《行政复议法》，开展“行政复议能力提升年”活动。落实行政复议办案规程、报告抄告办法等制度，优化行政复议审理机制。强化重大案件督办、制发意见书、建议书等方式运用，加大行政复议监督纠错力度。（区司法局</w:t>
      </w:r>
      <w:r>
        <w:rPr>
          <w:rFonts w:hint="eastAsia" w:ascii="Times New Roman" w:hAnsi="Times New Roman" w:eastAsia="仿宋_GB2312"/>
          <w:sz w:val="32"/>
          <w:szCs w:val="32"/>
        </w:rPr>
        <w:t>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推进行政应诉规范化建设。健全完善行政应诉工作制度，强化典型败诉案例研讨，加强团队办案经验归集。继续推进行政机关负责人“出庭出声出效果”。及时通报各单位行政败诉、行政机关负责人出庭以及司法建议落实情况。以深化行政调解工作为抓手</w:t>
      </w:r>
      <w:r>
        <w:rPr>
          <w:rFonts w:hint="eastAsia" w:ascii="Times New Roman" w:hAnsi="Times New Roman" w:eastAsia="仿宋_GB2312"/>
          <w:sz w:val="32"/>
          <w:szCs w:val="32"/>
        </w:rPr>
        <w:t>，</w:t>
      </w:r>
      <w:r>
        <w:rPr>
          <w:rFonts w:ascii="Times New Roman" w:hAnsi="Times New Roman" w:eastAsia="仿宋_GB2312"/>
          <w:sz w:val="32"/>
          <w:szCs w:val="32"/>
        </w:rPr>
        <w:t>推动诉前多元解纷联动衔接，实现行政诉讼案件数、行政诉讼案件败诉数“双下降”。（区司法局</w:t>
      </w:r>
      <w:r>
        <w:rPr>
          <w:rFonts w:hint="eastAsia" w:ascii="Times New Roman" w:hAnsi="Times New Roman" w:eastAsia="仿宋_GB2312"/>
          <w:sz w:val="32"/>
          <w:szCs w:val="32"/>
        </w:rPr>
        <w:t>、区政府办牵头，各街道（园区）、区政府其他有关部门配合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坚持和发展新时代“枫桥经验”。开展“践行新时代‘枫桥经验’、深化‘非诉服务’”专项行动，健全完善区、街、社区非诉讼服务中心。推动不同领域调解组织规范化建设和提档升级，拓宽新型矛盾纠纷化解渠道。打造公调对接升级版，规范诉调对接工作。深化诉源治理，提高矛盾纠纷调解率和解决率。（区司法局</w:t>
      </w:r>
      <w:r>
        <w:rPr>
          <w:rFonts w:hint="eastAsia" w:ascii="Times New Roman" w:hAnsi="Times New Roman" w:eastAsia="仿宋_GB2312"/>
          <w:sz w:val="32"/>
          <w:szCs w:val="32"/>
        </w:rPr>
        <w:t>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（七）强化行政权力制约监督，促进行政权力规范透明运行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推动多元监督形成合力。自觉接受人大法律监督、工作监督和政协民主监督，认真办理人大代表建议、政协委员提案。主动接受纪检监察、社会舆论监督，强化审计监督、统计监督、财会监督。（区政府办、区审计局、区统计局、区财政局</w:t>
      </w:r>
      <w:r>
        <w:rPr>
          <w:rFonts w:hint="eastAsia" w:ascii="Times New Roman" w:hAnsi="Times New Roman" w:eastAsia="仿宋_GB2312"/>
          <w:sz w:val="32"/>
          <w:szCs w:val="32"/>
        </w:rPr>
        <w:t>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加强和规范政府督查工作。落实《政府督查工作条例》，强化督查计划管理和科学统筹。发挥政府督查深入基层实际、反映群众心声、积极辅政建言的作用，收集并真实准确反映基层对优化政策、改进工作的意见建议。（区政府办</w:t>
      </w:r>
      <w:r>
        <w:rPr>
          <w:rFonts w:hint="eastAsia" w:ascii="Times New Roman" w:hAnsi="Times New Roman" w:eastAsia="仿宋_GB2312"/>
          <w:sz w:val="32"/>
          <w:szCs w:val="32"/>
        </w:rPr>
        <w:t>牵头，区政府其他有关部门配合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全面推行政务公开。加强政务公开制度化、标准化、信息化建设，推进决策、执行、管理、服务和结果公开，做到法定主动公开内容全部公开到位。加强政务公开工作，实现政务公开标准体系基本覆盖政府行政权力运行全过程和政务服务全流程。（区政府办</w:t>
      </w:r>
      <w:r>
        <w:rPr>
          <w:rFonts w:hint="eastAsia" w:ascii="Times New Roman" w:hAnsi="Times New Roman" w:eastAsia="仿宋_GB2312"/>
          <w:sz w:val="32"/>
          <w:szCs w:val="32"/>
        </w:rPr>
        <w:t>牵头，区政府其他有关部门配合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（八）加强法治政府建设科技保障，全面建设数字法治政府</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完善政务服务平台。推进区级部门政务服务业务系统接入区一体化政务服务平台，整合为互联互通、业务协同、信息共享的“大系统”。（</w:t>
      </w:r>
      <w:r>
        <w:rPr>
          <w:rFonts w:hint="eastAsia" w:ascii="Times New Roman" w:hAnsi="Times New Roman" w:eastAsia="仿宋_GB2312"/>
          <w:sz w:val="32"/>
          <w:szCs w:val="32"/>
        </w:rPr>
        <w:t>区行政审批局牵头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w:t>
      </w:r>
      <w:r>
        <w:rPr>
          <w:rFonts w:hint="eastAsia" w:ascii="Times New Roman" w:hAnsi="Times New Roman" w:eastAsia="仿宋_GB2312"/>
          <w:sz w:val="32"/>
          <w:szCs w:val="32"/>
        </w:rPr>
        <w:t>其他</w:t>
      </w:r>
      <w:r>
        <w:rPr>
          <w:rFonts w:ascii="Times New Roman" w:hAnsi="Times New Roman" w:eastAsia="仿宋_GB2312"/>
          <w:sz w:val="32"/>
          <w:szCs w:val="32"/>
        </w:rPr>
        <w:t>有关部门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加强政务数据共享。优化区共享交换平台，实现电子政务外网省、市、区三级全覆盖，全面部署统一身份认证、电子印章、电子支付等系统，提升跨地区跨部门跨层级公共服务能力。（区大数据管理局</w:t>
      </w:r>
      <w:r>
        <w:rPr>
          <w:rFonts w:hint="eastAsia" w:ascii="Times New Roman" w:hAnsi="Times New Roman" w:eastAsia="仿宋_GB2312"/>
          <w:sz w:val="32"/>
          <w:szCs w:val="32"/>
        </w:rPr>
        <w:t>牵头，各街道（园区）、区政府其他有关部门配合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（九）统筹推进法治政府建设，</w:t>
      </w:r>
      <w:r>
        <w:rPr>
          <w:rFonts w:hint="eastAsia" w:ascii="Times New Roman" w:hAnsi="Times New Roman" w:eastAsia="楷体_GB2312"/>
          <w:sz w:val="32"/>
          <w:szCs w:val="32"/>
        </w:rPr>
        <w:t>参与</w:t>
      </w:r>
      <w:r>
        <w:rPr>
          <w:rFonts w:ascii="Times New Roman" w:hAnsi="Times New Roman" w:eastAsia="楷体_GB2312"/>
          <w:sz w:val="32"/>
          <w:szCs w:val="32"/>
        </w:rPr>
        <w:t>全国法治政府建设示范</w:t>
      </w:r>
      <w:r>
        <w:rPr>
          <w:rFonts w:hint="eastAsia" w:ascii="Times New Roman" w:hAnsi="Times New Roman" w:eastAsia="楷体_GB2312"/>
          <w:sz w:val="32"/>
          <w:szCs w:val="32"/>
        </w:rPr>
        <w:t>创建活动</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加强党对法治政府建设的领导。学习宣传贯彻党的二十大精神和习近平法治思想。巩固党政主要负责人述法成果，开展书面与现场相结合的方式集中述法，探索民主评议、第三方评估、群众满意度测评等专门述法评议。（区委依法治区办</w:t>
      </w:r>
      <w:r>
        <w:rPr>
          <w:rFonts w:hint="eastAsia" w:ascii="Times New Roman" w:hAnsi="Times New Roman" w:eastAsia="仿宋_GB2312"/>
          <w:sz w:val="32"/>
          <w:szCs w:val="32"/>
        </w:rPr>
        <w:t>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区政府各部门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落实法治政府建设重点工作。组织参加第三批全国、全省法治政府建设示范创建活动。对照《中央依法治国办市县法治建设工作督察反馈问题整改工作方案》（宁委法〔2022〕5号），严格落实整改措施，</w:t>
      </w:r>
      <w:r>
        <w:rPr>
          <w:rFonts w:hint="eastAsia" w:ascii="Times New Roman" w:hAnsi="Times New Roman" w:eastAsia="仿宋_GB2312"/>
          <w:sz w:val="32"/>
          <w:szCs w:val="32"/>
        </w:rPr>
        <w:t>做好迎接</w:t>
      </w:r>
      <w:r>
        <w:rPr>
          <w:rFonts w:ascii="Times New Roman" w:hAnsi="Times New Roman" w:eastAsia="仿宋_GB2312"/>
          <w:sz w:val="32"/>
          <w:szCs w:val="32"/>
        </w:rPr>
        <w:t>整改情况实地督察</w:t>
      </w:r>
      <w:r>
        <w:rPr>
          <w:rFonts w:hint="eastAsia" w:ascii="Times New Roman" w:hAnsi="Times New Roman" w:eastAsia="仿宋_GB2312"/>
          <w:sz w:val="32"/>
          <w:szCs w:val="32"/>
        </w:rPr>
        <w:t>准备</w:t>
      </w:r>
      <w:r>
        <w:rPr>
          <w:rFonts w:ascii="Times New Roman" w:hAnsi="Times New Roman" w:eastAsia="仿宋_GB2312"/>
          <w:sz w:val="32"/>
          <w:szCs w:val="32"/>
        </w:rPr>
        <w:t>。开展《南京市雨花台区法治政府建设实施方案（2021-2025年）》中期评估。落实法治政府建设年度报告制度。（区委依法治区办、区依法行政办</w:t>
      </w:r>
      <w:r>
        <w:rPr>
          <w:rFonts w:hint="eastAsia" w:ascii="Times New Roman" w:hAnsi="Times New Roman" w:eastAsia="仿宋_GB2312"/>
          <w:sz w:val="32"/>
          <w:szCs w:val="32"/>
        </w:rPr>
        <w:t>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区政府各部门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全面提升依法行政意识能力。落实领导干部任前法律知识考试制度。健全完善区政府常务会议学法常态化机制，</w:t>
      </w:r>
      <w:r>
        <w:rPr>
          <w:rFonts w:hint="eastAsia" w:ascii="Times New Roman" w:hAnsi="Times New Roman" w:eastAsia="仿宋_GB2312"/>
          <w:sz w:val="32"/>
          <w:szCs w:val="32"/>
        </w:rPr>
        <w:t>各街道（园区）、</w:t>
      </w:r>
      <w:r>
        <w:rPr>
          <w:rFonts w:ascii="Times New Roman" w:hAnsi="Times New Roman" w:eastAsia="仿宋_GB2312"/>
          <w:sz w:val="32"/>
          <w:szCs w:val="32"/>
        </w:rPr>
        <w:t>各部门领导班子有效落实集体学法制度。</w:t>
      </w:r>
      <w:r>
        <w:rPr>
          <w:rFonts w:hint="eastAsia" w:ascii="Times New Roman" w:hAnsi="Times New Roman" w:eastAsia="仿宋_GB2312"/>
          <w:sz w:val="32"/>
          <w:szCs w:val="32"/>
        </w:rPr>
        <w:t>各街道（园区）、</w:t>
      </w:r>
      <w:r>
        <w:rPr>
          <w:rFonts w:ascii="Times New Roman" w:hAnsi="Times New Roman" w:eastAsia="仿宋_GB2312"/>
          <w:sz w:val="32"/>
          <w:szCs w:val="32"/>
        </w:rPr>
        <w:t>各部门领导班子至少举办2期法治专题讲座，至少组织1次旁听人民法院庭审活动。在败诉案件多发领域开展领导干部法治专题培训。各行政执法机关制定年度执法人员培训计划，执法人员每人接受不少于</w:t>
      </w:r>
      <w:r>
        <w:rPr>
          <w:rFonts w:hint="eastAsia" w:ascii="Times New Roman" w:hAnsi="Times New Roman" w:eastAsia="仿宋_GB2312"/>
          <w:sz w:val="32"/>
          <w:szCs w:val="32"/>
        </w:rPr>
        <w:t>6</w:t>
      </w:r>
      <w:r>
        <w:rPr>
          <w:rFonts w:ascii="Times New Roman" w:hAnsi="Times New Roman" w:eastAsia="仿宋_GB2312"/>
          <w:sz w:val="32"/>
          <w:szCs w:val="32"/>
        </w:rPr>
        <w:t>0学时专门业务培训</w:t>
      </w:r>
      <w:r>
        <w:rPr>
          <w:rFonts w:hint="eastAsia" w:ascii="Times New Roman" w:hAnsi="Times New Roman" w:eastAsia="仿宋_GB2312"/>
          <w:sz w:val="32"/>
          <w:szCs w:val="32"/>
        </w:rPr>
        <w:t>和</w:t>
      </w:r>
      <w:r>
        <w:rPr>
          <w:rFonts w:ascii="Times New Roman" w:hAnsi="Times New Roman" w:eastAsia="仿宋_GB2312"/>
          <w:sz w:val="32"/>
          <w:szCs w:val="32"/>
        </w:rPr>
        <w:t>法律知识培训。（区委组织部、</w:t>
      </w:r>
      <w:r>
        <w:rPr>
          <w:rFonts w:hint="eastAsia" w:ascii="Times New Roman" w:hAnsi="Times New Roman" w:eastAsia="仿宋_GB2312"/>
          <w:sz w:val="32"/>
          <w:szCs w:val="32"/>
        </w:rPr>
        <w:t>区法宣办、区委依法治区办、</w:t>
      </w:r>
      <w:r>
        <w:rPr>
          <w:rFonts w:ascii="Times New Roman" w:hAnsi="Times New Roman" w:eastAsia="仿宋_GB2312"/>
          <w:sz w:val="32"/>
          <w:szCs w:val="32"/>
        </w:rPr>
        <w:t>区依法行政办</w:t>
      </w:r>
      <w:r>
        <w:rPr>
          <w:rFonts w:hint="eastAsia" w:ascii="Times New Roman" w:hAnsi="Times New Roman" w:eastAsia="仿宋_GB2312"/>
          <w:sz w:val="32"/>
          <w:szCs w:val="32"/>
        </w:rPr>
        <w:t>牵头</w:t>
      </w:r>
      <w:r>
        <w:rPr>
          <w:rFonts w:ascii="Times New Roman" w:hAnsi="Times New Roman" w:eastAsia="仿宋_GB2312"/>
          <w:sz w:val="32"/>
          <w:szCs w:val="32"/>
        </w:rPr>
        <w:t>，</w:t>
      </w:r>
      <w:r>
        <w:rPr>
          <w:rFonts w:hint="eastAsia" w:ascii="Times New Roman" w:hAnsi="Times New Roman" w:eastAsia="仿宋_GB2312"/>
          <w:sz w:val="32"/>
          <w:szCs w:val="32"/>
        </w:rPr>
        <w:t>各街道（园区）、</w:t>
      </w:r>
      <w:r>
        <w:rPr>
          <w:rFonts w:ascii="Times New Roman" w:hAnsi="Times New Roman" w:eastAsia="仿宋_GB2312"/>
          <w:sz w:val="32"/>
          <w:szCs w:val="32"/>
        </w:rPr>
        <w:t>区政府各部门</w:t>
      </w:r>
      <w:r>
        <w:rPr>
          <w:rFonts w:hint="eastAsia" w:ascii="Times New Roman" w:hAnsi="Times New Roman" w:eastAsia="仿宋_GB2312"/>
          <w:sz w:val="32"/>
          <w:szCs w:val="32"/>
        </w:rPr>
        <w:t>配合</w:t>
      </w:r>
      <w:r>
        <w:rPr>
          <w:rFonts w:ascii="Times New Roman" w:hAnsi="Times New Roman" w:eastAsia="仿宋_GB2312"/>
          <w:sz w:val="32"/>
          <w:szCs w:val="32"/>
        </w:rPr>
        <w:t>）</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三、工作要求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（一）加强组织领导。法治政府建设是全面依法治区的重点任务和主体工程，是推进市域治理体系和治理能力现代化的重要支撑。</w:t>
      </w:r>
      <w:r>
        <w:rPr>
          <w:rFonts w:hint="eastAsia" w:ascii="Times New Roman" w:hAnsi="Times New Roman" w:eastAsia="仿宋_GB2312"/>
          <w:sz w:val="32"/>
          <w:szCs w:val="32"/>
        </w:rPr>
        <w:t>各街道（园区）、</w:t>
      </w:r>
      <w:r>
        <w:rPr>
          <w:rFonts w:ascii="Times New Roman" w:hAnsi="Times New Roman" w:eastAsia="仿宋_GB2312"/>
          <w:sz w:val="32"/>
          <w:szCs w:val="32"/>
        </w:rPr>
        <w:t>各部门党政主要负责人要切实履行推进法治建设第一责任人职责，将法治政府建设摆在工作全局的重要位置，强化组织领导和工作保障，加大推进力度，力戒形式主义。</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（二）强化责任落实。</w:t>
      </w:r>
      <w:r>
        <w:rPr>
          <w:rFonts w:hint="eastAsia" w:ascii="Times New Roman" w:hAnsi="Times New Roman" w:eastAsia="仿宋_GB2312"/>
          <w:sz w:val="32"/>
          <w:szCs w:val="32"/>
        </w:rPr>
        <w:t>各街道（园区）、</w:t>
      </w:r>
      <w:r>
        <w:rPr>
          <w:rFonts w:ascii="Times New Roman" w:hAnsi="Times New Roman" w:eastAsia="仿宋_GB2312"/>
          <w:sz w:val="32"/>
          <w:szCs w:val="32"/>
        </w:rPr>
        <w:t>各部门要结合本</w:t>
      </w:r>
      <w:r>
        <w:rPr>
          <w:rFonts w:hint="eastAsia" w:ascii="Times New Roman" w:hAnsi="Times New Roman" w:eastAsia="仿宋_GB2312"/>
          <w:sz w:val="32"/>
          <w:szCs w:val="32"/>
        </w:rPr>
        <w:t>单位</w:t>
      </w:r>
      <w:r>
        <w:rPr>
          <w:rFonts w:ascii="Times New Roman" w:hAnsi="Times New Roman" w:eastAsia="仿宋_GB2312"/>
          <w:sz w:val="32"/>
          <w:szCs w:val="32"/>
        </w:rPr>
        <w:t>实际，依据本计划</w:t>
      </w:r>
      <w:r>
        <w:rPr>
          <w:rFonts w:hint="eastAsia" w:ascii="Times New Roman" w:hAnsi="Times New Roman" w:eastAsia="仿宋_GB2312"/>
          <w:sz w:val="32"/>
          <w:szCs w:val="32"/>
        </w:rPr>
        <w:t>制定</w:t>
      </w:r>
      <w:r>
        <w:rPr>
          <w:rFonts w:ascii="Times New Roman" w:hAnsi="Times New Roman" w:eastAsia="仿宋_GB2312"/>
          <w:sz w:val="32"/>
          <w:szCs w:val="32"/>
        </w:rPr>
        <w:t>细化落实方案。要加强本计划重点工作完成情况跟踪督办，确保目标任务全面完成。贯彻落实本计划的做法成效及存在问题作为2023年度法治政府建设情况报告的主要内容。</w:t>
      </w:r>
    </w:p>
    <w:p>
      <w:pPr>
        <w:spacing w:line="560" w:lineRule="exact"/>
        <w:ind w:firstLine="640" w:firstLineChars="200"/>
        <w:rPr>
          <w:rFonts w:ascii="仿宋_GB2312" w:eastAsia="仿宋_GB2312"/>
          <w:sz w:val="28"/>
          <w:u w:val="single"/>
        </w:rPr>
      </w:pPr>
      <w:r>
        <w:rPr>
          <w:rFonts w:ascii="Times New Roman" w:hAnsi="Times New Roman" w:eastAsia="仿宋_GB2312"/>
          <w:sz w:val="32"/>
          <w:szCs w:val="32"/>
        </w:rPr>
        <w:t>（三）充分宣传引导。</w:t>
      </w:r>
      <w:r>
        <w:rPr>
          <w:rFonts w:hint="eastAsia" w:ascii="Times New Roman" w:hAnsi="Times New Roman" w:eastAsia="仿宋_GB2312"/>
          <w:sz w:val="32"/>
          <w:szCs w:val="32"/>
        </w:rPr>
        <w:t>各街道（园区）、</w:t>
      </w:r>
      <w:r>
        <w:rPr>
          <w:rFonts w:ascii="Times New Roman" w:hAnsi="Times New Roman" w:eastAsia="仿宋_GB2312"/>
          <w:sz w:val="32"/>
          <w:szCs w:val="32"/>
        </w:rPr>
        <w:t>各部门要充分利用报纸、电视、网络、新媒体等载体，加大对法治政府建设典型做法和工作成效的宣传力度，激发创新活力，营造</w:t>
      </w:r>
      <w:r>
        <w:rPr>
          <w:rFonts w:hint="eastAsia" w:ascii="Times New Roman" w:hAnsi="Times New Roman" w:eastAsia="仿宋_GB2312"/>
          <w:sz w:val="32"/>
          <w:szCs w:val="32"/>
        </w:rPr>
        <w:t>法治政府建设</w:t>
      </w:r>
      <w:r>
        <w:rPr>
          <w:rFonts w:ascii="Times New Roman" w:hAnsi="Times New Roman" w:eastAsia="仿宋_GB2312"/>
          <w:sz w:val="32"/>
          <w:szCs w:val="32"/>
        </w:rPr>
        <w:t>的良好氛围。</w:t>
      </w:r>
      <w:bookmarkStart w:id="0" w:name="_GoBack"/>
      <w:bookmarkEnd w:id="0"/>
    </w:p>
    <w:sectPr>
      <w:footerReference r:id="rId3" w:type="default"/>
      <w:pgSz w:w="11906" w:h="16838"/>
      <w:pgMar w:top="2098" w:right="1588"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Microsoft YaHei UI"/>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4762331"/>
      <w:docPartObj>
        <w:docPartGallery w:val="AutoText"/>
      </w:docPartObj>
    </w:sdtPr>
    <w:sdtEndPr>
      <w:rPr>
        <w:rFonts w:ascii="Times New Roman" w:hAnsi="Times New Roman"/>
        <w:sz w:val="24"/>
        <w:szCs w:val="24"/>
      </w:rPr>
    </w:sdtEndPr>
    <w:sdtContent>
      <w:p>
        <w:pPr>
          <w:pStyle w:val="4"/>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PAGE   \* MERGEFORMAT</w:instrText>
        </w:r>
        <w:r>
          <w:rPr>
            <w:rFonts w:ascii="Times New Roman" w:hAnsi="Times New Roman"/>
            <w:sz w:val="24"/>
            <w:szCs w:val="24"/>
          </w:rPr>
          <w:fldChar w:fldCharType="separate"/>
        </w:r>
        <w:r>
          <w:rPr>
            <w:rFonts w:ascii="Times New Roman" w:hAnsi="Times New Roman"/>
            <w:sz w:val="24"/>
            <w:szCs w:val="24"/>
            <w:lang w:val="zh-CN"/>
          </w:rPr>
          <w:t>-</w:t>
        </w:r>
        <w:r>
          <w:rPr>
            <w:rFonts w:ascii="Times New Roman" w:hAnsi="Times New Roman"/>
            <w:sz w:val="24"/>
            <w:szCs w:val="24"/>
          </w:rPr>
          <w:t xml:space="preserve"> 10 -</w:t>
        </w:r>
        <w:r>
          <w:rPr>
            <w:rFonts w:ascii="Times New Roman" w:hAnsi="Times New Roman"/>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E84"/>
    <w:rsid w:val="004E62D2"/>
    <w:rsid w:val="00804336"/>
    <w:rsid w:val="00865596"/>
    <w:rsid w:val="009213E2"/>
    <w:rsid w:val="00963F0B"/>
    <w:rsid w:val="00975E84"/>
    <w:rsid w:val="009C5321"/>
    <w:rsid w:val="00A0796A"/>
    <w:rsid w:val="00A270A2"/>
    <w:rsid w:val="00C84A62"/>
    <w:rsid w:val="00D401D9"/>
    <w:rsid w:val="00D72156"/>
    <w:rsid w:val="00E5161F"/>
    <w:rsid w:val="00E92B8B"/>
    <w:rsid w:val="2A78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日期 字符"/>
    <w:basedOn w:val="7"/>
    <w:link w:val="2"/>
    <w:semiHidden/>
    <w:qFormat/>
    <w:uiPriority w:val="99"/>
    <w:rPr>
      <w:rFonts w:ascii="Calibri" w:hAnsi="Calibri" w:eastAsia="宋体" w:cs="Times New Roman"/>
      <w:szCs w:val="20"/>
    </w:rPr>
  </w:style>
  <w:style w:type="character" w:customStyle="1" w:styleId="9">
    <w:name w:val="页眉 字符"/>
    <w:basedOn w:val="7"/>
    <w:link w:val="5"/>
    <w:qFormat/>
    <w:uiPriority w:val="99"/>
    <w:rPr>
      <w:rFonts w:ascii="Calibri" w:hAnsi="Calibri" w:eastAsia="宋体" w:cs="Times New Roman"/>
      <w:sz w:val="18"/>
      <w:szCs w:val="18"/>
    </w:rPr>
  </w:style>
  <w:style w:type="character" w:customStyle="1" w:styleId="10">
    <w:name w:val="页脚 字符"/>
    <w:basedOn w:val="7"/>
    <w:link w:val="4"/>
    <w:qFormat/>
    <w:uiPriority w:val="99"/>
    <w:rPr>
      <w:rFonts w:ascii="Calibri" w:hAnsi="Calibri" w:eastAsia="宋体" w:cs="Times New Roman"/>
      <w:sz w:val="18"/>
      <w:szCs w:val="18"/>
    </w:rPr>
  </w:style>
  <w:style w:type="character" w:customStyle="1" w:styleId="11">
    <w:name w:val="批注框文本 字符"/>
    <w:basedOn w:val="7"/>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812</Words>
  <Characters>4629</Characters>
  <Lines>38</Lines>
  <Paragraphs>10</Paragraphs>
  <TotalTime>58</TotalTime>
  <ScaleCrop>false</ScaleCrop>
  <LinksUpToDate>false</LinksUpToDate>
  <CharactersWithSpaces>5431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2023-06-25T02:29:00Z</dcterms:created>
  <dc:creator>Lenovo</dc:creator>
  <cp:lastModifiedBy>user</cp:lastModifiedBy>
  <cp:lastPrinted>2023-06-25T02:59:00Z</cp:lastPrinted>
  <dcterms:modified xsi:type="dcterms:W3CDTF">2023-07-07T07:46:58Z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8410AD98EEB248E3A92424AE64CDC0AA</vt:lpwstr>
  </property>
</Properties>
</file>